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880F4" w14:textId="1B405195" w:rsidR="008E371E" w:rsidRPr="00C54944" w:rsidRDefault="00C54944" w:rsidP="00C54944">
      <w:pPr>
        <w:spacing w:after="0" w:line="240" w:lineRule="auto"/>
        <w:rPr>
          <w:rFonts w:ascii="Times New Roman" w:hAnsi="Times New Roman" w:cs="Times New Roman"/>
          <w:sz w:val="28"/>
          <w:szCs w:val="28"/>
        </w:rPr>
      </w:pPr>
      <w:r w:rsidRPr="00C54944">
        <w:rPr>
          <w:rFonts w:ascii="Times New Roman" w:hAnsi="Times New Roman" w:cs="Times New Roman"/>
          <w:b/>
          <w:bCs/>
          <w:noProof/>
          <w:sz w:val="28"/>
          <w:szCs w:val="28"/>
        </w:rPr>
        <w:drawing>
          <wp:anchor distT="0" distB="0" distL="114300" distR="114300" simplePos="0" relativeHeight="251659264" behindDoc="0" locked="0" layoutInCell="1" allowOverlap="1" wp14:anchorId="0D8680AC" wp14:editId="6C8E6B3D">
            <wp:simplePos x="0" y="0"/>
            <wp:positionH relativeFrom="margin">
              <wp:posOffset>2324100</wp:posOffset>
            </wp:positionH>
            <wp:positionV relativeFrom="paragraph">
              <wp:posOffset>-685800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2CE32277" w14:textId="77777777" w:rsidR="006F43DB" w:rsidRPr="00C54944" w:rsidRDefault="006F43DB" w:rsidP="00C54944">
      <w:pPr>
        <w:spacing w:after="0" w:line="240" w:lineRule="auto"/>
        <w:jc w:val="center"/>
        <w:rPr>
          <w:rFonts w:ascii="Times New Roman" w:hAnsi="Times New Roman" w:cs="Times New Roman"/>
          <w:b/>
          <w:bCs/>
          <w:sz w:val="28"/>
          <w:szCs w:val="28"/>
          <w:u w:val="single"/>
          <w:lang w:val="fr-FR"/>
        </w:rPr>
      </w:pPr>
    </w:p>
    <w:p w14:paraId="4C8B2CA5" w14:textId="77777777" w:rsidR="006F43DB" w:rsidRPr="00C54944" w:rsidRDefault="006F43DB" w:rsidP="00C54944">
      <w:pPr>
        <w:spacing w:after="0" w:line="240" w:lineRule="auto"/>
        <w:jc w:val="center"/>
        <w:rPr>
          <w:rFonts w:ascii="Times New Roman" w:hAnsi="Times New Roman" w:cs="Times New Roman"/>
          <w:b/>
          <w:bCs/>
          <w:sz w:val="28"/>
          <w:szCs w:val="28"/>
          <w:u w:val="single"/>
          <w:lang w:val="fr-FR"/>
        </w:rPr>
      </w:pPr>
    </w:p>
    <w:p w14:paraId="3AD1A165" w14:textId="77777777" w:rsidR="006F43DB" w:rsidRPr="00C54944" w:rsidRDefault="006F43DB" w:rsidP="00C54944">
      <w:pPr>
        <w:spacing w:after="0" w:line="240" w:lineRule="auto"/>
        <w:jc w:val="center"/>
        <w:rPr>
          <w:rFonts w:ascii="Times New Roman" w:hAnsi="Times New Roman" w:cs="Times New Roman"/>
          <w:b/>
          <w:bCs/>
          <w:sz w:val="28"/>
          <w:szCs w:val="28"/>
          <w:u w:val="single"/>
          <w:lang w:val="fr-FR"/>
        </w:rPr>
      </w:pPr>
    </w:p>
    <w:p w14:paraId="0147BECB" w14:textId="123C9FF8" w:rsidR="00620E7B" w:rsidRPr="00C54944" w:rsidRDefault="00620E7B" w:rsidP="00C54944">
      <w:pPr>
        <w:spacing w:after="0" w:line="240" w:lineRule="auto"/>
        <w:jc w:val="center"/>
        <w:rPr>
          <w:rFonts w:ascii="Times New Roman" w:hAnsi="Times New Roman" w:cs="Times New Roman"/>
          <w:b/>
          <w:bCs/>
          <w:sz w:val="28"/>
          <w:szCs w:val="28"/>
          <w:lang w:val="fr-FR"/>
        </w:rPr>
      </w:pPr>
      <w:r w:rsidRPr="00C54944">
        <w:rPr>
          <w:rFonts w:ascii="Times New Roman" w:hAnsi="Times New Roman" w:cs="Times New Roman"/>
          <w:b/>
          <w:bCs/>
          <w:sz w:val="28"/>
          <w:szCs w:val="28"/>
          <w:lang w:val="fr-FR"/>
        </w:rPr>
        <w:t xml:space="preserve">Note conceptuelle sur </w:t>
      </w:r>
    </w:p>
    <w:p w14:paraId="27318E8C" w14:textId="1A55B47F" w:rsidR="00573F4A" w:rsidRPr="00C54944" w:rsidRDefault="00620E7B" w:rsidP="00C54944">
      <w:pPr>
        <w:spacing w:after="0" w:line="240" w:lineRule="auto"/>
        <w:jc w:val="center"/>
        <w:rPr>
          <w:rFonts w:ascii="Times New Roman" w:hAnsi="Times New Roman" w:cs="Times New Roman"/>
          <w:b/>
          <w:bCs/>
          <w:sz w:val="28"/>
          <w:szCs w:val="28"/>
          <w:lang w:val="fr-FR"/>
        </w:rPr>
      </w:pPr>
      <w:r w:rsidRPr="00C54944">
        <w:rPr>
          <w:rFonts w:ascii="Times New Roman" w:hAnsi="Times New Roman" w:cs="Times New Roman"/>
          <w:b/>
          <w:bCs/>
          <w:sz w:val="28"/>
          <w:szCs w:val="28"/>
          <w:lang w:val="fr-FR"/>
        </w:rPr>
        <w:t>la Gouvernance de la sécurité alimentaire</w:t>
      </w:r>
    </w:p>
    <w:p w14:paraId="42FEE404" w14:textId="477E4ABD" w:rsidR="00C54944" w:rsidRPr="00C54944" w:rsidRDefault="0064572E" w:rsidP="00C54944">
      <w:pPr>
        <w:spacing w:after="0" w:line="240" w:lineRule="auto"/>
        <w:rPr>
          <w:rFonts w:ascii="Times New Roman" w:hAnsi="Times New Roman" w:cs="Times New Roman"/>
          <w:sz w:val="28"/>
          <w:szCs w:val="28"/>
          <w:u w:val="single"/>
          <w:lang w:val="fr-FR"/>
        </w:rPr>
      </w:pPr>
      <w:r w:rsidRPr="00C54944">
        <w:rPr>
          <w:rFonts w:ascii="Times New Roman" w:hAnsi="Times New Roman" w:cs="Times New Roman"/>
          <w:sz w:val="28"/>
          <w:szCs w:val="28"/>
          <w:u w:val="single"/>
          <w:lang w:val="fr-FR"/>
        </w:rPr>
        <w:t xml:space="preserve"> </w:t>
      </w:r>
      <w:r w:rsidR="008B735C" w:rsidRPr="00C54944">
        <w:rPr>
          <w:rFonts w:ascii="Times New Roman" w:hAnsi="Times New Roman" w:cs="Times New Roman"/>
          <w:sz w:val="28"/>
          <w:szCs w:val="28"/>
          <w:u w:val="single"/>
          <w:lang w:val="fr-FR"/>
        </w:rPr>
        <w:t xml:space="preserve"> </w:t>
      </w:r>
    </w:p>
    <w:p w14:paraId="3DEC2998" w14:textId="74A73EB1" w:rsidR="00F476E8" w:rsidRPr="008405E8" w:rsidRDefault="00F476E8" w:rsidP="008405E8">
      <w:pPr>
        <w:spacing w:after="0" w:line="240" w:lineRule="auto"/>
        <w:rPr>
          <w:rFonts w:ascii="Times New Roman" w:hAnsi="Times New Roman" w:cs="Times New Roman"/>
          <w:b/>
          <w:bCs/>
          <w:sz w:val="28"/>
          <w:szCs w:val="28"/>
          <w:lang w:val="fr-FR"/>
        </w:rPr>
      </w:pPr>
      <w:r w:rsidRPr="008405E8">
        <w:rPr>
          <w:rFonts w:ascii="Times New Roman" w:hAnsi="Times New Roman" w:cs="Times New Roman"/>
          <w:b/>
          <w:bCs/>
          <w:sz w:val="28"/>
          <w:szCs w:val="28"/>
          <w:lang w:val="fr-FR"/>
        </w:rPr>
        <w:t>Introduction</w:t>
      </w:r>
    </w:p>
    <w:p w14:paraId="58C7AEDB" w14:textId="5306225B" w:rsidR="00C76280" w:rsidRDefault="00C76280" w:rsidP="00C54944">
      <w:p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 xml:space="preserve">Les systèmes alimentaires englobent l'ensemble des acteurs et des interactions tout au long de la chaîne de valeur alimentaire, </w:t>
      </w:r>
      <w:r w:rsidR="00D0626F" w:rsidRPr="00C54944">
        <w:rPr>
          <w:rFonts w:ascii="Times New Roman" w:hAnsi="Times New Roman" w:cs="Times New Roman"/>
          <w:sz w:val="28"/>
          <w:szCs w:val="28"/>
          <w:lang w:val="fr-FR"/>
        </w:rPr>
        <w:t xml:space="preserve">ainsi que la vision de l'IOFS du </w:t>
      </w:r>
      <w:r w:rsidRPr="00C54944">
        <w:rPr>
          <w:rFonts w:ascii="Times New Roman" w:hAnsi="Times New Roman" w:cs="Times New Roman"/>
          <w:sz w:val="28"/>
          <w:szCs w:val="28"/>
          <w:lang w:val="fr-FR"/>
        </w:rPr>
        <w:t>gène à la fourchette. L'objectif principal d'un système alimentaire est de produire suffisamment de nutriments, d'aliments sains et sûrs grâce à un mécanisme durable et respectueux de l'environnement et de l'écosystème. Pour atteindre cet objectif, un système alimentaire dépend d'autres systèmes clés tels que l'énergie, le commerce et la santé. Cela a exposé le changement structurel du système alimentaire qui pourrait résulter de la modification d'autres systèmes; par exemple, passer aux biocarburants dans le système énergétique pourrait affecter le système alimentaire.</w:t>
      </w:r>
    </w:p>
    <w:p w14:paraId="2D60D3E7" w14:textId="77777777" w:rsidR="00C54944" w:rsidRPr="00C54944" w:rsidRDefault="00C54944" w:rsidP="00C54944">
      <w:pPr>
        <w:spacing w:after="0" w:line="240" w:lineRule="auto"/>
        <w:rPr>
          <w:rFonts w:ascii="Times New Roman" w:hAnsi="Times New Roman" w:cs="Times New Roman"/>
          <w:sz w:val="28"/>
          <w:szCs w:val="28"/>
          <w:lang w:val="fr-FR"/>
        </w:rPr>
      </w:pPr>
    </w:p>
    <w:p w14:paraId="7F8BED88" w14:textId="502B0773" w:rsidR="00C76280" w:rsidRDefault="00143DA1"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C76280" w:rsidRPr="00C54944">
        <w:rPr>
          <w:rFonts w:ascii="Times New Roman" w:hAnsi="Times New Roman" w:cs="Times New Roman"/>
          <w:sz w:val="28"/>
          <w:szCs w:val="28"/>
          <w:lang w:val="fr-FR"/>
        </w:rPr>
        <w:t>Les systèmes alimentaires mondiaux ont été testés à la fois par des facteurs environnementaux et biologiques qui reflètent le besoin urgent de plus de résilience, d'un système alimentaire fort et puissant qui peut assumer la responsabilité aux niveaux national, régional et international. La première et immédiate réaction mondiale au COVID-19 a été le verrouillage et la fermeture des frontières pour protéger leurs propres pays de la propagation de la pandémie. Les écarts dus aux ravageurs acridiens transfrontières qui ont directement quitté le système agricole actuel souffrent de plus de 15 milliards de dollars de pertes.</w:t>
      </w:r>
    </w:p>
    <w:p w14:paraId="0E1E89D6" w14:textId="77777777" w:rsidR="00C54944" w:rsidRPr="00C54944" w:rsidRDefault="00C54944" w:rsidP="00C54944">
      <w:pPr>
        <w:spacing w:after="0" w:line="240" w:lineRule="auto"/>
        <w:rPr>
          <w:rFonts w:ascii="Times New Roman" w:hAnsi="Times New Roman" w:cs="Times New Roman"/>
          <w:sz w:val="28"/>
          <w:szCs w:val="28"/>
          <w:lang w:val="fr-FR"/>
        </w:rPr>
      </w:pPr>
    </w:p>
    <w:p w14:paraId="362482C7" w14:textId="4399F611" w:rsidR="00C76280" w:rsidRDefault="00143DA1"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C76280" w:rsidRPr="00C54944">
        <w:rPr>
          <w:rFonts w:ascii="Times New Roman" w:hAnsi="Times New Roman" w:cs="Times New Roman"/>
          <w:sz w:val="28"/>
          <w:szCs w:val="28"/>
          <w:lang w:val="fr-FR"/>
        </w:rPr>
        <w:t>À la lumière de la plus haute importance de cette question, l'ONU organise en 2021 le Sommet de haut niveau sur le système alimentaire.</w:t>
      </w:r>
    </w:p>
    <w:p w14:paraId="797B8394" w14:textId="77777777" w:rsidR="00C54944" w:rsidRPr="00C54944" w:rsidRDefault="00C54944" w:rsidP="00C54944">
      <w:pPr>
        <w:spacing w:after="0" w:line="240" w:lineRule="auto"/>
        <w:rPr>
          <w:rFonts w:ascii="Times New Roman" w:hAnsi="Times New Roman" w:cs="Times New Roman"/>
          <w:sz w:val="28"/>
          <w:szCs w:val="28"/>
          <w:lang w:val="fr-FR"/>
        </w:rPr>
      </w:pPr>
    </w:p>
    <w:p w14:paraId="31B9D640" w14:textId="1BC34A7E" w:rsidR="00C76280" w:rsidRDefault="00143DA1"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C76280" w:rsidRPr="00C54944">
        <w:rPr>
          <w:rFonts w:ascii="Times New Roman" w:hAnsi="Times New Roman" w:cs="Times New Roman"/>
          <w:sz w:val="28"/>
          <w:szCs w:val="28"/>
          <w:lang w:val="fr-FR"/>
        </w:rPr>
        <w:t>Le système alimentaire efficace jouera un rôle important en tant que protection contre les interventions imprévues, améliorera la cohérence entre les parties prenantes et facilitera l'analyse et l'évaluation immédiates de la situation actuelle et fournira des orientations et empêchera les interprétations erronées.</w:t>
      </w:r>
    </w:p>
    <w:p w14:paraId="7E6F2ECD" w14:textId="77777777" w:rsidR="00C54944" w:rsidRPr="00C54944" w:rsidRDefault="00C54944" w:rsidP="00C54944">
      <w:pPr>
        <w:spacing w:after="0" w:line="240" w:lineRule="auto"/>
        <w:rPr>
          <w:rFonts w:ascii="Times New Roman" w:hAnsi="Times New Roman" w:cs="Times New Roman"/>
          <w:sz w:val="28"/>
          <w:szCs w:val="28"/>
          <w:lang w:val="fr-FR"/>
        </w:rPr>
      </w:pPr>
    </w:p>
    <w:p w14:paraId="415D1371" w14:textId="35BFE4C9" w:rsidR="00C76280" w:rsidRPr="00C54944" w:rsidRDefault="00143DA1"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5. </w:t>
      </w:r>
      <w:r w:rsidR="00C76280" w:rsidRPr="00C54944">
        <w:rPr>
          <w:rFonts w:ascii="Times New Roman" w:hAnsi="Times New Roman" w:cs="Times New Roman"/>
          <w:sz w:val="28"/>
          <w:szCs w:val="28"/>
          <w:lang w:val="fr-FR"/>
        </w:rPr>
        <w:t>Une telle action affecte le flux des approvisionnements alimentaires et perturbe la chaîne alimentaire et laisse les agriculteurs confrontés aux défis sans soutien et par conséquent les légumes restent pourris dans les champs. Nous avons désespérément besoin d'un système alimentaire national avancé, moderne, efficace, durable et inclusif qui puisse protéger la société contre la violence et les conséquences dramatiques de tout facteur imprévu, prévenir la faim, promouvoir la santé et protéger l'environnement.</w:t>
      </w:r>
    </w:p>
    <w:p w14:paraId="156CDF48" w14:textId="31A23DD7" w:rsidR="00C76280" w:rsidRDefault="00143DA1"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6. </w:t>
      </w:r>
      <w:r w:rsidR="00C76280" w:rsidRPr="00C54944">
        <w:rPr>
          <w:rFonts w:ascii="Times New Roman" w:hAnsi="Times New Roman" w:cs="Times New Roman"/>
          <w:sz w:val="28"/>
          <w:szCs w:val="28"/>
          <w:lang w:val="fr-FR"/>
        </w:rPr>
        <w:t>L'OISA répond immédiate aux défis non représentés du système alimentaire (pandémie et invasion acridienne) et appelle à un système alimentaire plus résilient et plus fort dans les pays membres internationaux et de l'OCI / OISA. Un tel système alimentaire hautement efficace permettra aux pays membres de l'OISA de répondre aux besoins et aux attentes de leurs pays en matière d'approvisionnement alimentaire, de rendement élevé et de prix plus abordables, de réduire l'impact de tout choc brutal et de faciliter la coopération régionale immédiate. Ce type de système alimentaire efficace atténuerait l'insécurité alimentaire, la malnutrition et protégerait les populations les plus vulnérables. Un tel système alimentaire solide et flexible garantira la livraison d'aliments abordables, sûrs et nutritifs.</w:t>
      </w:r>
    </w:p>
    <w:p w14:paraId="2562C01C" w14:textId="77777777" w:rsidR="00C54944" w:rsidRPr="00C54944" w:rsidRDefault="00C54944" w:rsidP="00C54944">
      <w:pPr>
        <w:spacing w:after="0" w:line="240" w:lineRule="auto"/>
        <w:rPr>
          <w:rFonts w:ascii="Times New Roman" w:hAnsi="Times New Roman" w:cs="Times New Roman"/>
          <w:sz w:val="28"/>
          <w:szCs w:val="28"/>
          <w:lang w:val="fr-FR"/>
        </w:rPr>
      </w:pPr>
    </w:p>
    <w:p w14:paraId="1950BC9D" w14:textId="12A64703" w:rsidR="00422A5C" w:rsidRDefault="00143DA1"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7. </w:t>
      </w:r>
      <w:r w:rsidR="00C76280" w:rsidRPr="00C54944">
        <w:rPr>
          <w:rFonts w:ascii="Times New Roman" w:hAnsi="Times New Roman" w:cs="Times New Roman"/>
          <w:sz w:val="28"/>
          <w:szCs w:val="28"/>
          <w:lang w:val="fr-FR"/>
        </w:rPr>
        <w:t>Une bonne gouvernance de la sécurité alimentaire tient compte des mécanismes harmonisés très importants dans tous les processus connexes pour assurer la réalisation de la sécurité alimentaire à tous les niveaux dans n'importe quel pays. Il existe quatre piliers des objectifs de sécurité alimentaire et de nutrition: (i) disponibilité de la nourriture, (ii) accès à la nourriture, (iii) utilisation de la nourriture, et (iv) stabilité de la sécurité alimentaire et de la nutrition. La bonne gouvernance est le principal acteur de la sécurité alimentaire et de la nutrition dans la capacité institutionnelle du gouvernement local, en réponse immédiate en encourageant et en déployant des programmes d'aide humanitaire et en assurant la stabilité des prix alimentaires à long terme pour éradiquer l'insécurité alimentaire chronique et la faim. Toutes les parties prenantes de la sécurité alimentaire devraient travailler en harmonie pour maximiser les avantages des systèmes institutionnels de sécurité alimentaire. Il conduit les pays à atteindre les ODD sur l'éradication de la pauvreté et de la faim</w:t>
      </w:r>
      <w:r w:rsidR="00E852B2" w:rsidRPr="00C54944">
        <w:rPr>
          <w:rFonts w:ascii="Times New Roman" w:hAnsi="Times New Roman" w:cs="Times New Roman"/>
          <w:sz w:val="28"/>
          <w:szCs w:val="28"/>
          <w:lang w:val="fr-FR"/>
        </w:rPr>
        <w:t>.</w:t>
      </w:r>
    </w:p>
    <w:p w14:paraId="761F30FF" w14:textId="77777777" w:rsidR="00C54944" w:rsidRPr="00C54944" w:rsidRDefault="00C54944" w:rsidP="00C54944">
      <w:pPr>
        <w:spacing w:after="0" w:line="240" w:lineRule="auto"/>
        <w:rPr>
          <w:rFonts w:ascii="Times New Roman" w:hAnsi="Times New Roman" w:cs="Times New Roman"/>
          <w:sz w:val="28"/>
          <w:szCs w:val="28"/>
          <w:lang w:val="fr-FR"/>
        </w:rPr>
      </w:pPr>
    </w:p>
    <w:p w14:paraId="62109048" w14:textId="0EC75BFA" w:rsidR="00D0626F" w:rsidRPr="00C54944" w:rsidRDefault="00D0626F" w:rsidP="00C54944">
      <w:p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De plus, la construction d'une gouvernance résiliente et durable de la sécurité alimentaire serait étendue pour couvrir les politiques stratégiques nationales liées à la sécurité alimentaire, élargissant le cadre institutionnel et utilisant un mécanisme efficace.</w:t>
      </w:r>
    </w:p>
    <w:p w14:paraId="114F8F0A" w14:textId="77777777" w:rsidR="00F476E8" w:rsidRPr="00C54944" w:rsidRDefault="00F476E8" w:rsidP="00C54944">
      <w:pPr>
        <w:spacing w:after="0" w:line="240" w:lineRule="auto"/>
        <w:rPr>
          <w:rFonts w:ascii="Times New Roman" w:hAnsi="Times New Roman" w:cs="Times New Roman"/>
          <w:sz w:val="28"/>
          <w:szCs w:val="28"/>
          <w:lang w:val="fr-FR"/>
        </w:rPr>
      </w:pPr>
    </w:p>
    <w:p w14:paraId="5734EA02" w14:textId="6877755B" w:rsidR="00422A5C" w:rsidRPr="008405E8" w:rsidRDefault="00C76280" w:rsidP="008405E8">
      <w:pPr>
        <w:spacing w:after="0" w:line="240" w:lineRule="auto"/>
        <w:rPr>
          <w:rFonts w:ascii="Times New Roman" w:hAnsi="Times New Roman" w:cs="Times New Roman"/>
          <w:b/>
          <w:bCs/>
          <w:sz w:val="28"/>
          <w:szCs w:val="28"/>
          <w:lang w:val="fr-FR"/>
        </w:rPr>
      </w:pPr>
      <w:r w:rsidRPr="008405E8">
        <w:rPr>
          <w:rFonts w:ascii="Times New Roman" w:hAnsi="Times New Roman" w:cs="Times New Roman"/>
          <w:b/>
          <w:bCs/>
          <w:sz w:val="28"/>
          <w:szCs w:val="28"/>
          <w:lang w:val="fr-FR"/>
        </w:rPr>
        <w:t>Stabilité des prix alimentaires</w:t>
      </w:r>
    </w:p>
    <w:p w14:paraId="2180F897" w14:textId="1C234BB5" w:rsidR="00C76280"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8</w:t>
      </w:r>
      <w:r w:rsidR="00143DA1">
        <w:rPr>
          <w:rFonts w:ascii="Times New Roman" w:hAnsi="Times New Roman" w:cs="Times New Roman"/>
          <w:sz w:val="28"/>
          <w:szCs w:val="28"/>
          <w:lang w:val="fr-FR"/>
        </w:rPr>
        <w:t xml:space="preserve">. </w:t>
      </w:r>
      <w:r w:rsidR="00C76280" w:rsidRPr="00C54944">
        <w:rPr>
          <w:rFonts w:ascii="Times New Roman" w:hAnsi="Times New Roman" w:cs="Times New Roman"/>
          <w:sz w:val="28"/>
          <w:szCs w:val="28"/>
          <w:lang w:val="fr-FR"/>
        </w:rPr>
        <w:t>Le principal problème concernant la sécurité alimentaire est l'instabilité des prix, les agences nationales pourraient être chargées de contrôler les fluctuations des prix. Il est responsable des questions de sécurité alimentaire, des opérations de stock régulateur et de la stabilisation des prix alimentaires intérieurs, en tenant compte du fait que la hausse des prix des denrées alimentaires affecte négativement les résultats de la sécurité alimentaire.</w:t>
      </w:r>
    </w:p>
    <w:p w14:paraId="2C0BB407" w14:textId="77777777" w:rsidR="00C54944" w:rsidRPr="00C54944" w:rsidRDefault="00C54944" w:rsidP="00C54944">
      <w:pPr>
        <w:spacing w:after="0" w:line="240" w:lineRule="auto"/>
        <w:rPr>
          <w:rFonts w:ascii="Times New Roman" w:hAnsi="Times New Roman" w:cs="Times New Roman"/>
          <w:sz w:val="28"/>
          <w:szCs w:val="28"/>
          <w:lang w:val="fr-FR"/>
        </w:rPr>
      </w:pPr>
    </w:p>
    <w:p w14:paraId="05911992" w14:textId="394768B0" w:rsidR="00422A5C" w:rsidRPr="00C549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9. </w:t>
      </w:r>
      <w:r w:rsidR="00C76280" w:rsidRPr="00C54944">
        <w:rPr>
          <w:rFonts w:ascii="Times New Roman" w:hAnsi="Times New Roman" w:cs="Times New Roman"/>
          <w:sz w:val="28"/>
          <w:szCs w:val="28"/>
          <w:lang w:val="fr-FR"/>
        </w:rPr>
        <w:t xml:space="preserve">En Indonésie, </w:t>
      </w:r>
      <w:r w:rsidR="00FF7EBE" w:rsidRPr="00C54944">
        <w:rPr>
          <w:rFonts w:ascii="Times New Roman" w:hAnsi="Times New Roman" w:cs="Times New Roman"/>
          <w:sz w:val="28"/>
          <w:szCs w:val="28"/>
          <w:lang w:val="fr-FR"/>
        </w:rPr>
        <w:t>où</w:t>
      </w:r>
      <w:r w:rsidR="00C76280" w:rsidRPr="00C54944">
        <w:rPr>
          <w:rFonts w:ascii="Times New Roman" w:hAnsi="Times New Roman" w:cs="Times New Roman"/>
          <w:sz w:val="28"/>
          <w:szCs w:val="28"/>
          <w:lang w:val="fr-FR"/>
        </w:rPr>
        <w:t xml:space="preserve"> l'un des principaux problèmes de sécurité alimentaire étant l'instabilité des prix, l'Agence nationale de logistique alimentaire (BULOG) est l'une des agences nationales les plus importantes car elle est chargée de contrôler les fluctuations des prix. Le riz étant l'une des principales sources de nutrition en Indonésie, </w:t>
      </w:r>
      <w:r w:rsidR="00C76280" w:rsidRPr="00C54944">
        <w:rPr>
          <w:rFonts w:ascii="Times New Roman" w:hAnsi="Times New Roman" w:cs="Times New Roman"/>
          <w:sz w:val="28"/>
          <w:szCs w:val="28"/>
          <w:lang w:val="fr-FR"/>
        </w:rPr>
        <w:lastRenderedPageBreak/>
        <w:t>fournir du riz à des prix abordables est l'une des priorités du ministère de l'Agriculture. En 2017, pour contrôler les prix du riz, le Ministère du Commerce a publié le décret N° 57/2017 sur le prix de détail le plus élevé (HET) du riz. Cela s'accompagne des politiques du Ministère de l'Agriculture à travers le règlement 31/2017 sur la qualité du riz et le règlement 48/2017 sur les types de riz spéciaux. Selon ce cadre légal, le prix du riz ne doit pas dépasser HET en fonction de sa classe de qualité (MOFSA, 2020)</w:t>
      </w:r>
      <w:r w:rsidR="00422A5C" w:rsidRPr="00C54944">
        <w:rPr>
          <w:rFonts w:ascii="Times New Roman" w:hAnsi="Times New Roman" w:cs="Times New Roman"/>
          <w:sz w:val="28"/>
          <w:szCs w:val="28"/>
          <w:lang w:val="fr-FR"/>
        </w:rPr>
        <w:t xml:space="preserve">. </w:t>
      </w:r>
    </w:p>
    <w:p w14:paraId="03A58BAF" w14:textId="77777777" w:rsidR="00C54944" w:rsidRPr="00C54944" w:rsidRDefault="00C54944" w:rsidP="00C54944">
      <w:pPr>
        <w:spacing w:after="0" w:line="240" w:lineRule="auto"/>
        <w:rPr>
          <w:rFonts w:ascii="Times New Roman" w:hAnsi="Times New Roman" w:cs="Times New Roman"/>
          <w:sz w:val="28"/>
          <w:szCs w:val="28"/>
          <w:u w:val="single"/>
          <w:lang w:val="fr-FR"/>
        </w:rPr>
      </w:pPr>
    </w:p>
    <w:p w14:paraId="342F34A5" w14:textId="7A1E7C2F" w:rsidR="00F476E8" w:rsidRPr="008405E8" w:rsidRDefault="00FF7EBE" w:rsidP="008405E8">
      <w:pPr>
        <w:spacing w:after="0" w:line="240" w:lineRule="auto"/>
        <w:rPr>
          <w:rFonts w:ascii="Times New Roman" w:hAnsi="Times New Roman" w:cs="Times New Roman"/>
          <w:b/>
          <w:bCs/>
          <w:sz w:val="28"/>
          <w:szCs w:val="28"/>
          <w:lang w:val="fr-FR"/>
        </w:rPr>
      </w:pPr>
      <w:r w:rsidRPr="008405E8">
        <w:rPr>
          <w:rFonts w:ascii="Times New Roman" w:hAnsi="Times New Roman" w:cs="Times New Roman"/>
          <w:b/>
          <w:bCs/>
          <w:sz w:val="28"/>
          <w:szCs w:val="28"/>
          <w:lang w:val="fr-FR"/>
        </w:rPr>
        <w:t>Programmes d'aide humanitaire</w:t>
      </w:r>
    </w:p>
    <w:p w14:paraId="7B448C15" w14:textId="6A56DAEA" w:rsidR="00FF7EBE"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10. </w:t>
      </w:r>
      <w:r w:rsidR="00FF7EBE" w:rsidRPr="00C54944">
        <w:rPr>
          <w:rFonts w:ascii="Times New Roman" w:hAnsi="Times New Roman" w:cs="Times New Roman"/>
          <w:sz w:val="28"/>
          <w:szCs w:val="28"/>
          <w:lang w:val="fr-FR"/>
        </w:rPr>
        <w:t>La gouvernance de la sécurité alimentaire offre une chance de mettre en place des programmes spéciaux directs pour répondre aux besoins alimentaires de la communauté. Le monde doit faire face à sa responsabilité et à l’autonomisation des programmes d’aide alimentaire internationaux, régionaux et nationaux. La réponse des pays à la pénurie de nourriture et au point faible du système alimentaire, en particulier dans le cadre de la pandémie, par l'aide directe, a été reconnue. Le Kazakhstan, qui s'efforce de fournir un soutien économique aux pays voisins au milieu de la lutte contre la pandémie et au stade précoce du COVID-19, a pris la décision de fournir une aide humanitaire au Kirghizistan, au Tadjikistan et à l'Afghanistan. Cela comprend 5 000 tonnes de farine du Kazakhstan pour chaque pays d’une valeur de plus de 3 millions de dollars des EU.</w:t>
      </w:r>
    </w:p>
    <w:p w14:paraId="08CEE257" w14:textId="77777777" w:rsidR="00C54944" w:rsidRPr="00C54944" w:rsidRDefault="00C54944" w:rsidP="00C54944">
      <w:pPr>
        <w:spacing w:after="0" w:line="240" w:lineRule="auto"/>
        <w:rPr>
          <w:rFonts w:ascii="Times New Roman" w:hAnsi="Times New Roman" w:cs="Times New Roman"/>
          <w:sz w:val="28"/>
          <w:szCs w:val="28"/>
          <w:lang w:val="fr-FR"/>
        </w:rPr>
      </w:pPr>
    </w:p>
    <w:p w14:paraId="2D8580C7" w14:textId="2303A35D" w:rsidR="00F476E8"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11. </w:t>
      </w:r>
      <w:r w:rsidR="00FF7EBE" w:rsidRPr="00C54944">
        <w:rPr>
          <w:rFonts w:ascii="Times New Roman" w:hAnsi="Times New Roman" w:cs="Times New Roman"/>
          <w:sz w:val="28"/>
          <w:szCs w:val="28"/>
          <w:lang w:val="fr-FR"/>
        </w:rPr>
        <w:t>À cet égard, l'OISA fournit un portefeuille de programmes d'aide humanitaire, y compris le Fonds céréalier, les Réserves de sécurité alimentaire en plus de Viande de Qurbani et Farine pour l'humanité. Ces activités assurent la bonne distribution de nourriture dans la région urgente de l'OCI. L'objectif de ces programmes s'est étendu pour dépendre des plates-formes informatiques innovantes à jour qui permettent de fournir une aide alimentaire in situ et dans le cadre du système alimentaire, des points faibles tels que la pandémie et les épidémies de ravageurs. Ces programmes ambitieux encourageront les petits agriculteurs, minimiseront les distances et les coûts de transport et répondront aux besoins des pauvres</w:t>
      </w:r>
      <w:r w:rsidR="00D26580" w:rsidRPr="00C54944">
        <w:rPr>
          <w:rFonts w:ascii="Times New Roman" w:hAnsi="Times New Roman" w:cs="Times New Roman"/>
          <w:sz w:val="28"/>
          <w:szCs w:val="28"/>
          <w:lang w:val="fr-FR"/>
        </w:rPr>
        <w:t xml:space="preserve">. </w:t>
      </w:r>
    </w:p>
    <w:p w14:paraId="0873D851" w14:textId="77777777" w:rsidR="00C54944" w:rsidRPr="00C54944" w:rsidRDefault="00C54944" w:rsidP="00C54944">
      <w:pPr>
        <w:spacing w:after="0" w:line="240" w:lineRule="auto"/>
        <w:rPr>
          <w:rFonts w:ascii="Times New Roman" w:hAnsi="Times New Roman" w:cs="Times New Roman"/>
          <w:sz w:val="28"/>
          <w:szCs w:val="28"/>
          <w:lang w:val="fr-FR"/>
        </w:rPr>
      </w:pPr>
    </w:p>
    <w:p w14:paraId="04ADB6D0" w14:textId="421405EA" w:rsidR="0004504A" w:rsidRPr="008405E8" w:rsidRDefault="00FF7EBE" w:rsidP="008405E8">
      <w:pPr>
        <w:spacing w:after="0" w:line="240" w:lineRule="auto"/>
        <w:rPr>
          <w:rFonts w:ascii="Times New Roman" w:hAnsi="Times New Roman" w:cs="Times New Roman"/>
          <w:b/>
          <w:bCs/>
          <w:sz w:val="28"/>
          <w:szCs w:val="28"/>
          <w:lang w:val="fr-FR"/>
        </w:rPr>
      </w:pPr>
      <w:r w:rsidRPr="008405E8">
        <w:rPr>
          <w:rFonts w:ascii="Times New Roman" w:hAnsi="Times New Roman" w:cs="Times New Roman"/>
          <w:b/>
          <w:bCs/>
          <w:sz w:val="28"/>
          <w:szCs w:val="28"/>
          <w:lang w:val="fr-FR"/>
        </w:rPr>
        <w:t>Analyse des effets des bonnes pratiques de gouvernance pour la sécurité alimentaire dans les pays membres de l'OCI</w:t>
      </w:r>
      <w:r w:rsidR="0004504A" w:rsidRPr="008405E8">
        <w:rPr>
          <w:rFonts w:ascii="Times New Roman" w:hAnsi="Times New Roman" w:cs="Times New Roman"/>
          <w:b/>
          <w:bCs/>
          <w:sz w:val="28"/>
          <w:szCs w:val="28"/>
          <w:lang w:val="fr-FR"/>
        </w:rPr>
        <w:t xml:space="preserve"> </w:t>
      </w:r>
    </w:p>
    <w:p w14:paraId="1BDE629F" w14:textId="40099123" w:rsidR="00FF7EBE"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12. </w:t>
      </w:r>
      <w:r w:rsidR="00FF7EBE" w:rsidRPr="00C54944">
        <w:rPr>
          <w:rFonts w:ascii="Times New Roman" w:hAnsi="Times New Roman" w:cs="Times New Roman"/>
          <w:sz w:val="28"/>
          <w:szCs w:val="28"/>
          <w:lang w:val="fr-FR"/>
        </w:rPr>
        <w:t xml:space="preserve">Les bonnes pratiques de gouvernance pour la sécurité alimentaire, en particulier avec les nouveaux scénarios internationaux et mondiaux, posent le système alimentaire face à la nécessité de restructurer et de développer un modèle plus résilient. Ce modèle de développement est compliqué lié à sa capacité à identifier et adopter des stratégies capables d'allier compétitivité et durabilité. À cet égard, la bonne gouvernance pour assurer la sécurité alimentaire et la nutrition dans les pays membres de l'OCI publiée par le Comité permanent pour la coopération économique et commerciale de l'Organisation de la coopération islamique (COMCEC) a exploré une certaine gouvernance de la sécurité alimentaire dans les pays membres de l'OCI. L’un des exemples les plus importants dans ce domaine est l’Indonésie, qui est le quatrième pays </w:t>
      </w:r>
      <w:r w:rsidR="00FF7EBE" w:rsidRPr="00C54944">
        <w:rPr>
          <w:rFonts w:ascii="Times New Roman" w:hAnsi="Times New Roman" w:cs="Times New Roman"/>
          <w:sz w:val="28"/>
          <w:szCs w:val="28"/>
          <w:lang w:val="fr-FR"/>
        </w:rPr>
        <w:lastRenderedPageBreak/>
        <w:t>au monde peuplé de près de 271 millions d’habitants et 32% de sa principale main-d’œuvre travaillant dans l’agriculture.</w:t>
      </w:r>
    </w:p>
    <w:p w14:paraId="76A61BA8" w14:textId="77777777" w:rsidR="00C54944" w:rsidRPr="00C54944" w:rsidRDefault="00C54944" w:rsidP="00C54944">
      <w:pPr>
        <w:spacing w:after="0" w:line="240" w:lineRule="auto"/>
        <w:rPr>
          <w:rFonts w:ascii="Times New Roman" w:hAnsi="Times New Roman" w:cs="Times New Roman"/>
          <w:sz w:val="28"/>
          <w:szCs w:val="28"/>
          <w:lang w:val="fr-FR"/>
        </w:rPr>
      </w:pPr>
    </w:p>
    <w:p w14:paraId="3D7A3971" w14:textId="34B88018" w:rsidR="00FF7EBE"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FF7EBE" w:rsidRPr="00C54944">
        <w:rPr>
          <w:rFonts w:ascii="Times New Roman" w:hAnsi="Times New Roman" w:cs="Times New Roman"/>
          <w:sz w:val="28"/>
          <w:szCs w:val="28"/>
          <w:lang w:val="fr-FR"/>
        </w:rPr>
        <w:t>Le principal défi reconnu auquel est confronté le système alimentaire indonésien sont les vastes zones de pays qui limitent le transport et la logistique utilisés dans la livraison de nourriture, les ressources en eau et en terres et la coordination des acteurs de la sécurité alimentaire. Des efforts remarquables pour améliorer la sécurité alimentaire dans le pays ont été déployés depuis 1980. Selon l'étude publiée mentionnée, le cadre institutionnel de la gouvernance de la sécurité alimentaire en Indonésie comprend la présidence, le Gouvernement indonésien, le Conseil de la sécurité alimentaire, le Ministère de l'Agriculture, le Ministère de la santé, le Ministère de la planification du développement national et 20 autres ministères coordonnés en vertu de la législation actuelle du Conseil de la sécurité alimentaire. Il existe également une unité spécialisée, l'Agence de la sécurité alimentaire, au sein du Ministère de l'Agriculture. Il existe également des agences nationales telles que l'Agence nationale de la logistique alimentaire (BULOG), l'Autorité compétente en matière de sécurité alimentaire (OKKP) et l'Agence de contrôle des aliments et des médicaments (BPOM).</w:t>
      </w:r>
    </w:p>
    <w:p w14:paraId="11B47EDB" w14:textId="77777777" w:rsidR="00C54944" w:rsidRPr="00C54944" w:rsidRDefault="00C54944" w:rsidP="00C54944">
      <w:pPr>
        <w:spacing w:after="0" w:line="240" w:lineRule="auto"/>
        <w:rPr>
          <w:rFonts w:ascii="Times New Roman" w:hAnsi="Times New Roman" w:cs="Times New Roman"/>
          <w:sz w:val="28"/>
          <w:szCs w:val="28"/>
          <w:lang w:val="fr-FR"/>
        </w:rPr>
      </w:pPr>
    </w:p>
    <w:p w14:paraId="14FA6910" w14:textId="09FE3FC0" w:rsidR="00FF7EBE"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14. </w:t>
      </w:r>
      <w:r w:rsidR="00FF7EBE" w:rsidRPr="00C54944">
        <w:rPr>
          <w:rFonts w:ascii="Times New Roman" w:hAnsi="Times New Roman" w:cs="Times New Roman"/>
          <w:sz w:val="28"/>
          <w:szCs w:val="28"/>
          <w:lang w:val="fr-FR"/>
        </w:rPr>
        <w:t>Le cadre juridique des politiques de sécurité alimentaire et de nutrition comprend quatre législations distinctes. En 2006, le règlement présidentiel de 83/2006 a conduit à la création du Conseil de sécurité alimentaire. La tâche principale du Conseil de sécurité alimentaire est d'assister le Président dans la formulation de politiques qui garantissent la sécurité alimentaire nationale, entre autres.</w:t>
      </w:r>
    </w:p>
    <w:p w14:paraId="6649077B" w14:textId="77777777" w:rsidR="00C54944" w:rsidRPr="00C54944" w:rsidRDefault="00C54944" w:rsidP="00C54944">
      <w:pPr>
        <w:spacing w:after="0" w:line="240" w:lineRule="auto"/>
        <w:rPr>
          <w:rFonts w:ascii="Times New Roman" w:hAnsi="Times New Roman" w:cs="Times New Roman"/>
          <w:sz w:val="28"/>
          <w:szCs w:val="28"/>
          <w:lang w:val="fr-FR"/>
        </w:rPr>
      </w:pPr>
    </w:p>
    <w:p w14:paraId="659D4973" w14:textId="73535362" w:rsidR="00FF7EBE"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15. </w:t>
      </w:r>
      <w:r w:rsidR="00FF7EBE" w:rsidRPr="00C54944">
        <w:rPr>
          <w:rFonts w:ascii="Times New Roman" w:hAnsi="Times New Roman" w:cs="Times New Roman"/>
          <w:sz w:val="28"/>
          <w:szCs w:val="28"/>
          <w:lang w:val="fr-FR"/>
        </w:rPr>
        <w:t>Dans l'analyse de la décomposition basée sur le ratissage, l'Indonésie se situe parmi les pays qui ont des rendements céréaliers plus élevés et une plus grande capacité de gouvernance. L'État indonésien a mis en place quatre mécanismes de participation des parties prenantes. Il s'agit des plateformes d'action pour (i) le gouvernement et le parlement, (ii) les organisations de la société civile et les médias, (iii) la philanthropie et les entreprises, et (iv) les universitaires.</w:t>
      </w:r>
    </w:p>
    <w:p w14:paraId="1221AEA2" w14:textId="77777777" w:rsidR="00C54944" w:rsidRPr="00C54944" w:rsidRDefault="00C54944" w:rsidP="00C54944">
      <w:pPr>
        <w:spacing w:after="0" w:line="240" w:lineRule="auto"/>
        <w:rPr>
          <w:rFonts w:ascii="Times New Roman" w:hAnsi="Times New Roman" w:cs="Times New Roman"/>
          <w:sz w:val="28"/>
          <w:szCs w:val="28"/>
          <w:lang w:val="fr-FR"/>
        </w:rPr>
      </w:pPr>
    </w:p>
    <w:p w14:paraId="37F0A39D" w14:textId="463542BE" w:rsidR="00716075" w:rsidRPr="00C549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16. </w:t>
      </w:r>
      <w:r w:rsidR="00FF7EBE" w:rsidRPr="00C54944">
        <w:rPr>
          <w:rFonts w:ascii="Times New Roman" w:hAnsi="Times New Roman" w:cs="Times New Roman"/>
          <w:sz w:val="28"/>
          <w:szCs w:val="28"/>
          <w:lang w:val="fr-FR"/>
        </w:rPr>
        <w:t xml:space="preserve">Le deuxième exemple clair de bonne gouvernance de la sécurité alimentaire est le cas des Émirats Arabes Unis dans la région arabe. Les EAU ont déjà créé un Bureau de la sécurité alimentaire et depuis 2017, avec une vision claire de devenir le principal centre mondial de la sécurité alimentaire axée sur l'innovation d'ici 2051. Le Bureau de la sécurité alimentaire des EAU travaille à l'élaboration de cette stratégie nationale pour la sécurité alimentaire en coopération avec tous autorités concernées qui permettent aux EAU de mettre en place 38 initiatives et programmes pour assurer la sécurité alimentaire, la disponibilité alimentaire et une alimentation suffisante dans le pays tout au long de l'année. Les piliers de la stratégie de sécurité alimentaire des EAU orientent </w:t>
      </w:r>
      <w:r w:rsidR="00867126" w:rsidRPr="00C54944">
        <w:rPr>
          <w:rFonts w:ascii="Times New Roman" w:hAnsi="Times New Roman" w:cs="Times New Roman"/>
          <w:sz w:val="28"/>
          <w:szCs w:val="28"/>
          <w:lang w:val="fr-FR"/>
        </w:rPr>
        <w:t>à</w:t>
      </w:r>
      <w:r w:rsidR="00716075" w:rsidRPr="00C54944">
        <w:rPr>
          <w:rFonts w:ascii="Times New Roman" w:hAnsi="Times New Roman" w:cs="Times New Roman"/>
          <w:sz w:val="28"/>
          <w:szCs w:val="28"/>
          <w:lang w:val="fr-FR"/>
        </w:rPr>
        <w:t>:</w:t>
      </w:r>
    </w:p>
    <w:p w14:paraId="5EF982D8" w14:textId="77777777" w:rsidR="00867126" w:rsidRPr="00C54944" w:rsidRDefault="00867126" w:rsidP="00C54944">
      <w:pPr>
        <w:pStyle w:val="a6"/>
        <w:numPr>
          <w:ilvl w:val="0"/>
          <w:numId w:val="23"/>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lastRenderedPageBreak/>
        <w:t>Faciliter le commerce mondial de l’agro-industrie vers les sources alimentaires internationales des plongeurs,</w:t>
      </w:r>
    </w:p>
    <w:p w14:paraId="251D86D7" w14:textId="77777777" w:rsidR="00867126" w:rsidRPr="00C54944" w:rsidRDefault="00867126" w:rsidP="00C54944">
      <w:pPr>
        <w:pStyle w:val="a6"/>
        <w:numPr>
          <w:ilvl w:val="0"/>
          <w:numId w:val="23"/>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Réduire les pertes et gaspillages alimentaires,</w:t>
      </w:r>
    </w:p>
    <w:p w14:paraId="78CAAEEF" w14:textId="77777777" w:rsidR="00867126" w:rsidRPr="00C54944" w:rsidRDefault="00867126" w:rsidP="00C54944">
      <w:pPr>
        <w:pStyle w:val="a6"/>
        <w:numPr>
          <w:ilvl w:val="0"/>
          <w:numId w:val="23"/>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Assurer une sécurité alimentaire durable et améliorer l'apport nutritionnel,</w:t>
      </w:r>
    </w:p>
    <w:p w14:paraId="12A5F5F2" w14:textId="77777777" w:rsidR="00867126" w:rsidRPr="00C54944" w:rsidRDefault="00867126" w:rsidP="00C54944">
      <w:pPr>
        <w:pStyle w:val="a6"/>
        <w:numPr>
          <w:ilvl w:val="0"/>
          <w:numId w:val="23"/>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Améliorer l'approvisionnement alimentaire national reposant sur la technologie durable tout au long de la chaîne de valeur,</w:t>
      </w:r>
    </w:p>
    <w:p w14:paraId="0B8416D5" w14:textId="6336F1AE" w:rsidR="00716075" w:rsidRDefault="00867126" w:rsidP="00C54944">
      <w:pPr>
        <w:pStyle w:val="a6"/>
        <w:numPr>
          <w:ilvl w:val="0"/>
          <w:numId w:val="23"/>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Renforcer les capacités de réponse aux risques et crises alimentaires</w:t>
      </w:r>
      <w:r w:rsidR="00C54944">
        <w:rPr>
          <w:rFonts w:ascii="Times New Roman" w:hAnsi="Times New Roman" w:cs="Times New Roman"/>
          <w:sz w:val="28"/>
          <w:szCs w:val="28"/>
          <w:lang w:val="fr-FR"/>
        </w:rPr>
        <w:t>.</w:t>
      </w:r>
      <w:r w:rsidR="00716075" w:rsidRPr="00C54944">
        <w:rPr>
          <w:rFonts w:ascii="Times New Roman" w:hAnsi="Times New Roman" w:cs="Times New Roman"/>
          <w:sz w:val="28"/>
          <w:szCs w:val="28"/>
          <w:lang w:val="fr-FR"/>
        </w:rPr>
        <w:t xml:space="preserve"> </w:t>
      </w:r>
    </w:p>
    <w:p w14:paraId="5FE7FF8F" w14:textId="77777777" w:rsidR="00C54944" w:rsidRPr="00C54944" w:rsidRDefault="00C54944" w:rsidP="00C54944">
      <w:pPr>
        <w:pStyle w:val="a6"/>
        <w:spacing w:after="0" w:line="240" w:lineRule="auto"/>
        <w:rPr>
          <w:rFonts w:ascii="Times New Roman" w:hAnsi="Times New Roman" w:cs="Times New Roman"/>
          <w:sz w:val="28"/>
          <w:szCs w:val="28"/>
          <w:lang w:val="fr-FR"/>
        </w:rPr>
      </w:pPr>
    </w:p>
    <w:p w14:paraId="4720A076" w14:textId="76BC962A" w:rsidR="00285641"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17. </w:t>
      </w:r>
      <w:r w:rsidR="00285641" w:rsidRPr="00C54944">
        <w:rPr>
          <w:rFonts w:ascii="Times New Roman" w:hAnsi="Times New Roman" w:cs="Times New Roman"/>
          <w:sz w:val="28"/>
          <w:szCs w:val="28"/>
          <w:lang w:val="fr-FR"/>
        </w:rPr>
        <w:t>La stratégie vise à mettre en œuvre des pratiques agricoles résilientes qui augmentent la productivité et la production, qui aident à maintenir l'écosystème et à atteindre zéro faim. C'est peut-être la principale raison pour laquelle les EAU réagissent rapidement et efficacement à la pandémie de COVID-19. Le Bureau de la sécurité alimentaire veille à ce que la chaîne alimentaire à travers le pays ne soit pas interrompue et qu'il n'y ait donc aucune lacune dans la chaîne d'approvisionnement.</w:t>
      </w:r>
    </w:p>
    <w:p w14:paraId="096A7D1B" w14:textId="77777777" w:rsidR="00C54944" w:rsidRPr="00C54944" w:rsidRDefault="00C54944" w:rsidP="00C54944">
      <w:pPr>
        <w:spacing w:after="0" w:line="240" w:lineRule="auto"/>
        <w:rPr>
          <w:rFonts w:ascii="Times New Roman" w:hAnsi="Times New Roman" w:cs="Times New Roman"/>
          <w:sz w:val="28"/>
          <w:szCs w:val="28"/>
          <w:lang w:val="fr-FR"/>
        </w:rPr>
      </w:pPr>
    </w:p>
    <w:p w14:paraId="49B8AB1B" w14:textId="09F683EA" w:rsidR="00285641"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18. </w:t>
      </w:r>
      <w:r w:rsidR="00285641" w:rsidRPr="00C54944">
        <w:rPr>
          <w:rFonts w:ascii="Times New Roman" w:hAnsi="Times New Roman" w:cs="Times New Roman"/>
          <w:sz w:val="28"/>
          <w:szCs w:val="28"/>
          <w:lang w:val="fr-FR"/>
        </w:rPr>
        <w:t>Gardez à l'esprit que les EAU importent près de 90% de leurs denrées alimentaires et de leurs produits de base et ils ont élaboré une stratégie optimiste pour produire de la nourriture et réduire la dépendance à l'égard de la chaîne d'approvisionnement de l'étranger. Le pays confronté à la situation actuelle du Covid19 comme une nouvelle opportunité de construire un système plus solide et plus flexible. Le Bureau de la sécurité alimentaire des EAU a lancé de nombreuses initiatives pour promouvoir l'utilisation de la technologie agricole pour cultiver des aliments comme moyen durable d'atteindre l'efficacité et de construire un système alimentaire de chaîne. Après 2 ans de création du Bureau de la sécurité alimentaire, les Émirats Arabes Unis sont passés de la 33e place en 2017 au 31e rang en 2018 dans l'indice alimentaire mondial et au 21e rang en 2019 avec une prévision de grimper au 9e d'ici 2021 et viser à atteindre 50% des pertes alimentaires. d'ici 2030. Les ambitions des EAU prévoient de créer plus de 16 000 emplois, d'augmenter la production agricole de plus de 100 000 tonnes et d'obtenir des rendements économiques pouvant atteindre 6 milliards USD d'ici 2021. Ces succès impressionnants sont le résultat des efforts de coopération du Bureau de la sécurité alimentaire et les principaux acteurs du secteur public et privé avec la coopération de la communauté.</w:t>
      </w:r>
    </w:p>
    <w:p w14:paraId="34B98FAE" w14:textId="77777777" w:rsidR="00C54944" w:rsidRPr="00C54944" w:rsidRDefault="00C54944" w:rsidP="00C54944">
      <w:pPr>
        <w:spacing w:after="0" w:line="240" w:lineRule="auto"/>
        <w:rPr>
          <w:rFonts w:ascii="Times New Roman" w:hAnsi="Times New Roman" w:cs="Times New Roman"/>
          <w:sz w:val="28"/>
          <w:szCs w:val="28"/>
          <w:lang w:val="fr-FR"/>
        </w:rPr>
      </w:pPr>
    </w:p>
    <w:p w14:paraId="54744698" w14:textId="4075B6D9" w:rsidR="00C54944" w:rsidRPr="00C549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19. </w:t>
      </w:r>
      <w:r w:rsidR="00285641" w:rsidRPr="00C54944">
        <w:rPr>
          <w:rFonts w:ascii="Times New Roman" w:hAnsi="Times New Roman" w:cs="Times New Roman"/>
          <w:sz w:val="28"/>
          <w:szCs w:val="28"/>
          <w:lang w:val="fr-FR"/>
        </w:rPr>
        <w:t xml:space="preserve">En février 2020, les Émirats Arabes Unis et leurs efforts visant à renforcer la sécurité alimentaire, la première réunion du Conseil de sécurité alimentaire a eu lieu. Le Conseil est l'autorité centrale chargée de piloter la mise en œuvre de la stratégie nationale de sécurité alimentaire. Il vise à assurer une vision unifiée et supervisera la direction actuelle et future pour conduire la sécurité alimentaire en ce qui concerne la production et la gestion et l'ensemble de la chaîne de valeur alimentaire. Le travail du Conseil comprendra également la mise en place de projets alimentaires pionniers qui soutiennent l’économie nationale et renforcent la compétitivité du pays. Le Conseil a adopté des Comités nationaux spécialisés dans la facilitation du commerce alimentaire </w:t>
      </w:r>
      <w:r w:rsidR="00285641" w:rsidRPr="00C54944">
        <w:rPr>
          <w:rFonts w:ascii="Times New Roman" w:hAnsi="Times New Roman" w:cs="Times New Roman"/>
          <w:sz w:val="28"/>
          <w:szCs w:val="28"/>
          <w:lang w:val="fr-FR"/>
        </w:rPr>
        <w:lastRenderedPageBreak/>
        <w:t>mondial, la diversification des ressources d'importations alimentaires, l'augmentation du PIB, le développement de technologies et la limitation du gaspillage alimentaire. Il a également discuté de la création d'un Comité consultatif chargé de fournir un appui fonctionnel et technique pour les politiques de sécurité alimentaire suggérées. Et le Conseil fonctionnera comme suit:</w:t>
      </w:r>
    </w:p>
    <w:p w14:paraId="20CE7069" w14:textId="4F92BF1C" w:rsidR="00C54944" w:rsidRPr="00C54944" w:rsidRDefault="00285641" w:rsidP="00C54944">
      <w:pPr>
        <w:pStyle w:val="a6"/>
        <w:numPr>
          <w:ilvl w:val="0"/>
          <w:numId w:val="24"/>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Le Secrétariat général du Conseil soumettra des propositions au Comité consultatif, qui est chargé de fournir un soutien technologique et des propositions de politique.Il évalue également les normes de référence sur les mécanismes de renforcement de la sécurité alimentaire, ainsi que propose des projets et initiatives liés au secteur.</w:t>
      </w:r>
    </w:p>
    <w:p w14:paraId="7D4EF59F" w14:textId="2ABB270A" w:rsidR="00285641" w:rsidRPr="00C54944" w:rsidRDefault="00285641" w:rsidP="00C54944">
      <w:pPr>
        <w:pStyle w:val="a6"/>
        <w:numPr>
          <w:ilvl w:val="0"/>
          <w:numId w:val="24"/>
        </w:num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Le Secrétariat général étudie également les politiques proposées, examine leur légitimité, établit qu'il n'y a pas de contradiction entre les politiques concernées et les autres législations applicables. Il favorise également l'efficacité et la qualité dans le plan de travail du Conseil, ainsi que la création et la mise à jour d'une base de données qui comprend tous les rapports et informations produits par le Conseil et ses Comités pour servir de référence pour les parties prenantes de la sécurité alimentaire des EAU.</w:t>
      </w:r>
    </w:p>
    <w:p w14:paraId="68D57BA1" w14:textId="77777777" w:rsidR="00C54944" w:rsidRPr="00C54944" w:rsidRDefault="00C54944" w:rsidP="00C54944">
      <w:pPr>
        <w:spacing w:after="0" w:line="240" w:lineRule="auto"/>
        <w:rPr>
          <w:rFonts w:ascii="Times New Roman" w:hAnsi="Times New Roman" w:cs="Times New Roman"/>
          <w:sz w:val="28"/>
          <w:szCs w:val="28"/>
          <w:lang w:val="fr-FR"/>
        </w:rPr>
      </w:pPr>
    </w:p>
    <w:p w14:paraId="5931C946" w14:textId="5D9DE6C2" w:rsidR="00285641"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20. </w:t>
      </w:r>
      <w:r w:rsidR="00285641" w:rsidRPr="00C54944">
        <w:rPr>
          <w:rFonts w:ascii="Times New Roman" w:hAnsi="Times New Roman" w:cs="Times New Roman"/>
          <w:sz w:val="28"/>
          <w:szCs w:val="28"/>
          <w:lang w:val="fr-FR"/>
        </w:rPr>
        <w:t>Le Conseil de la sécurité alimentaire travaille selon des priorités, des plans et des programmes qui prennent en compte plusieurs orientations stratégiques, à savoir les urgences et les crises, les stocks stratégiques, la production agricole locale, la sécurité alimentaire, les investissements internationaux, la diversification des sources d'importations alimentaires et la nutrition.</w:t>
      </w:r>
    </w:p>
    <w:p w14:paraId="5554D277" w14:textId="77777777" w:rsidR="00C54944" w:rsidRPr="00C54944" w:rsidRDefault="00C54944" w:rsidP="00C54944">
      <w:pPr>
        <w:spacing w:after="0" w:line="240" w:lineRule="auto"/>
        <w:rPr>
          <w:rFonts w:ascii="Times New Roman" w:hAnsi="Times New Roman" w:cs="Times New Roman"/>
          <w:sz w:val="28"/>
          <w:szCs w:val="28"/>
          <w:lang w:val="fr-FR"/>
        </w:rPr>
      </w:pPr>
    </w:p>
    <w:p w14:paraId="66036DA6" w14:textId="4E520D48" w:rsidR="00285641"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21. </w:t>
      </w:r>
      <w:r w:rsidR="00285641" w:rsidRPr="00C54944">
        <w:rPr>
          <w:rFonts w:ascii="Times New Roman" w:hAnsi="Times New Roman" w:cs="Times New Roman"/>
          <w:sz w:val="28"/>
          <w:szCs w:val="28"/>
          <w:lang w:val="fr-FR"/>
        </w:rPr>
        <w:t>Le Conseil examine toute la législation relative à l'alimentation avant son approbation au niveau fédéral et veille à la mise en œuvre de la stratégie nationale de sécurité alimentaire.</w:t>
      </w:r>
    </w:p>
    <w:p w14:paraId="4E7908BB" w14:textId="77777777" w:rsidR="00C54944" w:rsidRPr="00C54944" w:rsidRDefault="00C54944" w:rsidP="00C54944">
      <w:pPr>
        <w:spacing w:after="0" w:line="240" w:lineRule="auto"/>
        <w:rPr>
          <w:rFonts w:ascii="Times New Roman" w:hAnsi="Times New Roman" w:cs="Times New Roman"/>
          <w:sz w:val="28"/>
          <w:szCs w:val="28"/>
          <w:lang w:val="fr-FR"/>
        </w:rPr>
      </w:pPr>
    </w:p>
    <w:p w14:paraId="2C9276BC" w14:textId="2BD7D5AC" w:rsidR="00285641" w:rsidRPr="00C549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22. </w:t>
      </w:r>
      <w:r w:rsidR="00285641" w:rsidRPr="00C54944">
        <w:rPr>
          <w:rFonts w:ascii="Times New Roman" w:hAnsi="Times New Roman" w:cs="Times New Roman"/>
          <w:sz w:val="28"/>
          <w:szCs w:val="28"/>
          <w:lang w:val="fr-FR"/>
        </w:rPr>
        <w:t>Il propose des réglementations, des lois et des politiques pour améliorer la sécurité alimentaire aux EAU, définit le programme d'investissement dans le secteur alimentaire</w:t>
      </w:r>
    </w:p>
    <w:p w14:paraId="09E1E6B0" w14:textId="1450C321" w:rsidR="00285641" w:rsidRDefault="00285641" w:rsidP="00C54944">
      <w:p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 xml:space="preserve"> mène des études de risques spécialisées sur l'impact des défis mondiaux sur le système de sécurité alimentaire, tels que le changement climatique et la sécheresse.</w:t>
      </w:r>
    </w:p>
    <w:p w14:paraId="795A909E" w14:textId="77777777" w:rsidR="00C54944" w:rsidRPr="00C54944" w:rsidRDefault="00C54944" w:rsidP="00C54944">
      <w:pPr>
        <w:spacing w:after="0" w:line="240" w:lineRule="auto"/>
        <w:rPr>
          <w:rFonts w:ascii="Times New Roman" w:hAnsi="Times New Roman" w:cs="Times New Roman"/>
          <w:sz w:val="28"/>
          <w:szCs w:val="28"/>
          <w:lang w:val="fr-FR"/>
        </w:rPr>
      </w:pPr>
    </w:p>
    <w:p w14:paraId="41D952BF" w14:textId="553653A4" w:rsidR="00716075"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23. </w:t>
      </w:r>
      <w:r w:rsidR="00285641" w:rsidRPr="00C54944">
        <w:rPr>
          <w:rFonts w:ascii="Times New Roman" w:hAnsi="Times New Roman" w:cs="Times New Roman"/>
          <w:sz w:val="28"/>
          <w:szCs w:val="28"/>
          <w:lang w:val="fr-FR"/>
        </w:rPr>
        <w:t>Les tâches du conseil comprennent également l'expansion des initiatives pour l'approvisionnement complet et diversifié de produits alimentaires, l'élaboration de rapports annuels pour le système de sécurité alimentaire</w:t>
      </w:r>
      <w:r w:rsidR="00A35C81" w:rsidRPr="00C54944">
        <w:rPr>
          <w:rFonts w:ascii="Times New Roman" w:hAnsi="Times New Roman" w:cs="Times New Roman"/>
          <w:sz w:val="28"/>
          <w:szCs w:val="28"/>
          <w:lang w:val="fr-FR"/>
        </w:rPr>
        <w:t>.</w:t>
      </w:r>
    </w:p>
    <w:p w14:paraId="7B8A65F8" w14:textId="77777777" w:rsidR="00C54944" w:rsidRPr="00C54944" w:rsidRDefault="00C54944" w:rsidP="00C54944">
      <w:pPr>
        <w:spacing w:after="0" w:line="240" w:lineRule="auto"/>
        <w:rPr>
          <w:rFonts w:ascii="Times New Roman" w:hAnsi="Times New Roman" w:cs="Times New Roman"/>
          <w:sz w:val="28"/>
          <w:szCs w:val="28"/>
          <w:lang w:val="fr-FR"/>
        </w:rPr>
      </w:pPr>
    </w:p>
    <w:p w14:paraId="41B03241" w14:textId="6479C165" w:rsidR="00BF171C"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24. </w:t>
      </w:r>
      <w:r w:rsidR="00285641" w:rsidRPr="00C54944">
        <w:rPr>
          <w:rFonts w:ascii="Times New Roman" w:hAnsi="Times New Roman" w:cs="Times New Roman"/>
          <w:sz w:val="28"/>
          <w:szCs w:val="28"/>
          <w:lang w:val="fr-FR"/>
        </w:rPr>
        <w:t>Certains pays de l'OCI manquent de bonnes pratiques de gouvernance pour la sécurité alimentaire, y compris le Kazakhstan et l'Ouganda</w:t>
      </w:r>
      <w:r w:rsidR="00BF171C" w:rsidRPr="00C54944">
        <w:rPr>
          <w:rFonts w:ascii="Times New Roman" w:hAnsi="Times New Roman" w:cs="Times New Roman"/>
          <w:sz w:val="28"/>
          <w:szCs w:val="28"/>
          <w:lang w:val="fr-FR"/>
        </w:rPr>
        <w:t>.</w:t>
      </w:r>
    </w:p>
    <w:p w14:paraId="72F08526" w14:textId="1030F0F4" w:rsidR="00C54944" w:rsidRDefault="00C54944" w:rsidP="00C54944">
      <w:pPr>
        <w:spacing w:after="0" w:line="240" w:lineRule="auto"/>
        <w:rPr>
          <w:rFonts w:ascii="Times New Roman" w:hAnsi="Times New Roman" w:cs="Times New Roman"/>
          <w:sz w:val="28"/>
          <w:szCs w:val="28"/>
          <w:lang w:val="fr-FR"/>
        </w:rPr>
      </w:pPr>
    </w:p>
    <w:p w14:paraId="409874B7" w14:textId="77777777" w:rsidR="00C54944" w:rsidRPr="00C54944" w:rsidRDefault="00C54944" w:rsidP="00C54944">
      <w:pPr>
        <w:spacing w:after="0" w:line="240" w:lineRule="auto"/>
        <w:rPr>
          <w:rFonts w:ascii="Times New Roman" w:hAnsi="Times New Roman" w:cs="Times New Roman"/>
          <w:sz w:val="28"/>
          <w:szCs w:val="28"/>
          <w:lang w:val="fr-FR"/>
        </w:rPr>
      </w:pPr>
    </w:p>
    <w:p w14:paraId="018AD709" w14:textId="552C49E0" w:rsidR="0004504A" w:rsidRPr="008405E8" w:rsidRDefault="00285641" w:rsidP="008405E8">
      <w:pPr>
        <w:spacing w:after="0" w:line="240" w:lineRule="auto"/>
        <w:rPr>
          <w:rFonts w:ascii="Times New Roman" w:hAnsi="Times New Roman" w:cs="Times New Roman"/>
          <w:b/>
          <w:bCs/>
          <w:sz w:val="28"/>
          <w:szCs w:val="28"/>
          <w:lang w:val="fr-FR"/>
        </w:rPr>
      </w:pPr>
      <w:r w:rsidRPr="008405E8">
        <w:rPr>
          <w:rFonts w:ascii="Times New Roman" w:hAnsi="Times New Roman" w:cs="Times New Roman"/>
          <w:b/>
          <w:bCs/>
          <w:sz w:val="28"/>
          <w:szCs w:val="28"/>
          <w:lang w:val="fr-FR"/>
        </w:rPr>
        <w:lastRenderedPageBreak/>
        <w:t>Le rôle des bonnes pratiques de gouvernance de l'OISA pour la sécurité alimentaire dans les pays membres de l'OCI</w:t>
      </w:r>
    </w:p>
    <w:p w14:paraId="513B3791" w14:textId="6C4DD27E" w:rsidR="00F27B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25. </w:t>
      </w:r>
      <w:r w:rsidR="00F27B44" w:rsidRPr="00C54944">
        <w:rPr>
          <w:rFonts w:ascii="Times New Roman" w:hAnsi="Times New Roman" w:cs="Times New Roman"/>
          <w:sz w:val="28"/>
          <w:szCs w:val="28"/>
          <w:lang w:val="fr-FR"/>
        </w:rPr>
        <w:t>L'OISA apparaît comme une opportunité régionale clé pour l'OCI pour garantir les bonnes pratiques en matière de gouvernance de la sécurité alimentaire. Avec une participation accrue des pays membres de l'OCI, en particulier de ceux qui font face à des problèmes d'insécurité alimentaire et de malnutrition, l'OISA établissant les programmes nécessaires qui aident à coordonner un cadre d'action cohérent. L'OISA se concentre sur le développement des produits stratégiques du blé, du riz, du manioc et de l'huile de palme.</w:t>
      </w:r>
    </w:p>
    <w:p w14:paraId="45D72D8E" w14:textId="77777777" w:rsidR="00C54944" w:rsidRPr="00C54944" w:rsidRDefault="00C54944" w:rsidP="00C54944">
      <w:pPr>
        <w:spacing w:after="0" w:line="240" w:lineRule="auto"/>
        <w:rPr>
          <w:rFonts w:ascii="Times New Roman" w:hAnsi="Times New Roman" w:cs="Times New Roman"/>
          <w:sz w:val="28"/>
          <w:szCs w:val="28"/>
          <w:lang w:val="fr-FR"/>
        </w:rPr>
      </w:pPr>
    </w:p>
    <w:p w14:paraId="67CFA7CA" w14:textId="0FB798FA" w:rsidR="00F27B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26. </w:t>
      </w:r>
      <w:r w:rsidR="00F27B44" w:rsidRPr="00C54944">
        <w:rPr>
          <w:rFonts w:ascii="Times New Roman" w:hAnsi="Times New Roman" w:cs="Times New Roman"/>
          <w:sz w:val="28"/>
          <w:szCs w:val="28"/>
          <w:lang w:val="fr-FR"/>
        </w:rPr>
        <w:t>Le principal objectif du développement des produits stratégiques est d'assurer l'autosuffisance dans le plan à moyen terme. Cela pourrait être accompli en augmentant le niveau de production, en garantissant l'accès à des semences améliorées, en améliorant la sensibilisation à l'agriculture modernisée, en développant de solides programmes de vulgarisation et en attirant les investissements. Pour accomplir ce mandat très important, l'OISA a établi les programmes de développement des produits stratégiques dans les Pays Membres de l'OCI et a souligné son rôle dans la réalisation de la sécurité alimentaire. Le renforcement de la coopération intra-OCI Les États membres vers un plus grand niveau de production des produits stratégiques indiqués soutiendra la disponibilité alimentaire et augmentera par conséquent le niveau de sécurité alimentaire.</w:t>
      </w:r>
    </w:p>
    <w:p w14:paraId="4B49E824" w14:textId="77777777" w:rsidR="00C54944" w:rsidRPr="00C54944" w:rsidRDefault="00C54944" w:rsidP="00C54944">
      <w:pPr>
        <w:spacing w:after="0" w:line="240" w:lineRule="auto"/>
        <w:rPr>
          <w:rFonts w:ascii="Times New Roman" w:hAnsi="Times New Roman" w:cs="Times New Roman"/>
          <w:sz w:val="28"/>
          <w:szCs w:val="28"/>
          <w:lang w:val="fr-FR"/>
        </w:rPr>
      </w:pPr>
    </w:p>
    <w:p w14:paraId="2464E2BA" w14:textId="047773B2" w:rsidR="00F27B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27. </w:t>
      </w:r>
      <w:r w:rsidR="00F27B44" w:rsidRPr="00C54944">
        <w:rPr>
          <w:rFonts w:ascii="Times New Roman" w:hAnsi="Times New Roman" w:cs="Times New Roman"/>
          <w:sz w:val="28"/>
          <w:szCs w:val="28"/>
          <w:lang w:val="fr-FR"/>
        </w:rPr>
        <w:t>Compte tenu de la nécessité de promouvoir le développement technologique dans le domaine de l'agriculture, du développement rural et de la sécurité alimentaire, la création d'une plate-forme pour le partage des connaissances entre les diverses institutions de formation et de recherche dans les États membres de l'OCI / OISA est devenue très cruciale. Essentiellement, cette méthodologie de formation ajouterait de la valeur au programme actuel de l'OCI / OISA sur le développement de produits agricoles stratégiques (blé, manioc et riz) dans leurs Etats membres.</w:t>
      </w:r>
    </w:p>
    <w:p w14:paraId="6D4DA047" w14:textId="77777777" w:rsidR="00C54944" w:rsidRPr="00C54944" w:rsidRDefault="00C54944" w:rsidP="00C54944">
      <w:pPr>
        <w:spacing w:after="0" w:line="240" w:lineRule="auto"/>
        <w:rPr>
          <w:rFonts w:ascii="Times New Roman" w:hAnsi="Times New Roman" w:cs="Times New Roman"/>
          <w:sz w:val="28"/>
          <w:szCs w:val="28"/>
          <w:lang w:val="fr-FR"/>
        </w:rPr>
      </w:pPr>
    </w:p>
    <w:p w14:paraId="4D5AB417" w14:textId="06500C78" w:rsidR="00F27B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28. </w:t>
      </w:r>
      <w:r w:rsidR="00F27B44" w:rsidRPr="00C54944">
        <w:rPr>
          <w:rFonts w:ascii="Times New Roman" w:hAnsi="Times New Roman" w:cs="Times New Roman"/>
          <w:sz w:val="28"/>
          <w:szCs w:val="28"/>
          <w:lang w:val="fr-FR"/>
        </w:rPr>
        <w:t xml:space="preserve">À cet égard et en tenant compte de l'existence de nombreuses institutions de recherche dans le développement de ces trois produits stratégiques dans les États membres de l'OCI / OISA, des Centres régionaux d'excellence seront désignés dans les régions clés pour chacun des trois produits sélectionnés. Ces centres fonctionneraient à leur tour pour mener et coordonner des programmes de formation et de recherche entre les États membres dans leurs régions respectives. Le cas échéant, une réunion centrale de tous les centres régionaux d'excellence serait convoquée pour discuter de la coordination des politiques et des questions connexes.L'Organisation Islamique pour la Sécurité Alimentaire (OISA) a été créée en tant qu'institution spécialisée de l'OCI pour (i) travailler sur l'insécurité alimentaire et problèmes de malnutrition auxquels sont confrontés les pays membres de l'OCI et (ii) créer une plate-forme pour les pays membres de l'OCI dans la promotion de la sécurité alimentaire et de la nutrition «à </w:t>
      </w:r>
      <w:r w:rsidR="00F27B44" w:rsidRPr="00C54944">
        <w:rPr>
          <w:rFonts w:ascii="Times New Roman" w:hAnsi="Times New Roman" w:cs="Times New Roman"/>
          <w:sz w:val="28"/>
          <w:szCs w:val="28"/>
          <w:lang w:val="fr-FR"/>
        </w:rPr>
        <w:lastRenderedPageBreak/>
        <w:t>travers la mobilisation de toutes les ressources disponibles dans leurs pays, l'échange des meilleures pratiques et expériences, la promotion de l'investissement et transfert de technologies appropriées» (IOFS, 2013: 2). Actuellement, 34 des 57 pays membres de l'OCI sont également membres de l'OISA.</w:t>
      </w:r>
    </w:p>
    <w:p w14:paraId="768C59B1" w14:textId="77777777" w:rsidR="00C54944" w:rsidRPr="00C54944" w:rsidRDefault="00C54944" w:rsidP="00C54944">
      <w:pPr>
        <w:spacing w:after="0" w:line="240" w:lineRule="auto"/>
        <w:rPr>
          <w:rFonts w:ascii="Times New Roman" w:hAnsi="Times New Roman" w:cs="Times New Roman"/>
          <w:sz w:val="28"/>
          <w:szCs w:val="28"/>
          <w:lang w:val="fr-FR"/>
        </w:rPr>
      </w:pPr>
    </w:p>
    <w:p w14:paraId="2BBBAAE0" w14:textId="628153F2" w:rsidR="00F27B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29. </w:t>
      </w:r>
      <w:r w:rsidR="00F27B44" w:rsidRPr="00C54944">
        <w:rPr>
          <w:rFonts w:ascii="Times New Roman" w:hAnsi="Times New Roman" w:cs="Times New Roman"/>
          <w:sz w:val="28"/>
          <w:szCs w:val="28"/>
          <w:lang w:val="fr-FR"/>
        </w:rPr>
        <w:t>En ce qui concerne la lutte antiparasitaire et les maladies animales transfrontières, l'OISA prendrait des mesures urgentes de concert avec les entreprises et les acteurs étatiques concernés pour lutter contre la menace d'invasion acridienne, qui a nui à la production alimentaire dans de nombreux pays de la région.</w:t>
      </w:r>
    </w:p>
    <w:p w14:paraId="6C137A8A" w14:textId="77777777" w:rsidR="00C54944" w:rsidRPr="00C54944" w:rsidRDefault="00C54944" w:rsidP="00C54944">
      <w:pPr>
        <w:spacing w:after="0" w:line="240" w:lineRule="auto"/>
        <w:rPr>
          <w:rFonts w:ascii="Times New Roman" w:hAnsi="Times New Roman" w:cs="Times New Roman"/>
          <w:sz w:val="28"/>
          <w:szCs w:val="28"/>
          <w:lang w:val="fr-FR"/>
        </w:rPr>
      </w:pPr>
    </w:p>
    <w:p w14:paraId="59972904" w14:textId="790347FA" w:rsidR="00F27B44" w:rsidRDefault="00D00295" w:rsidP="00C54944">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30. </w:t>
      </w:r>
      <w:r w:rsidR="00F27B44" w:rsidRPr="00C54944">
        <w:rPr>
          <w:rFonts w:ascii="Times New Roman" w:hAnsi="Times New Roman" w:cs="Times New Roman"/>
          <w:sz w:val="28"/>
          <w:szCs w:val="28"/>
          <w:lang w:val="fr-FR"/>
        </w:rPr>
        <w:t>En matière de recherche et développement, l'OISA développera sa Base de données sur le bilan alimentaire, tout en intégrant la science, la technologie et l'innovation à travers le développement d'un mécanisme régional pour la conservation et le partage des ressources phytogénétiques pour l'alimentation et l'agriculture, en collaboration avec la FAO et COMSTECH.</w:t>
      </w:r>
    </w:p>
    <w:p w14:paraId="3855E2A7" w14:textId="77777777" w:rsidR="00C54944" w:rsidRPr="00C54944" w:rsidRDefault="00C54944" w:rsidP="00C54944">
      <w:pPr>
        <w:spacing w:after="0" w:line="240" w:lineRule="auto"/>
        <w:rPr>
          <w:rFonts w:ascii="Times New Roman" w:hAnsi="Times New Roman" w:cs="Times New Roman"/>
          <w:sz w:val="28"/>
          <w:szCs w:val="28"/>
          <w:lang w:val="fr-FR"/>
        </w:rPr>
      </w:pPr>
    </w:p>
    <w:p w14:paraId="648152EB" w14:textId="170D6FE6" w:rsidR="009C2210" w:rsidRPr="00C54944" w:rsidRDefault="00F27B44" w:rsidP="00C54944">
      <w:pPr>
        <w:spacing w:after="0" w:line="240" w:lineRule="auto"/>
        <w:rPr>
          <w:rFonts w:ascii="Times New Roman" w:hAnsi="Times New Roman" w:cs="Times New Roman"/>
          <w:sz w:val="28"/>
          <w:szCs w:val="28"/>
          <w:lang w:val="fr-FR"/>
        </w:rPr>
      </w:pPr>
      <w:r w:rsidRPr="00C54944">
        <w:rPr>
          <w:rFonts w:ascii="Times New Roman" w:hAnsi="Times New Roman" w:cs="Times New Roman"/>
          <w:sz w:val="28"/>
          <w:szCs w:val="28"/>
          <w:lang w:val="fr-FR"/>
        </w:rPr>
        <w:t>Avec ces compétences, l'OISA est prêt à contribuer à la construction d'une meilleure capacité institutionnelle de sécurité alimentaire des pays membres de l'OCI</w:t>
      </w:r>
      <w:r w:rsidR="000B3D6B" w:rsidRPr="00C54944">
        <w:rPr>
          <w:rFonts w:ascii="Times New Roman" w:hAnsi="Times New Roman" w:cs="Times New Roman"/>
          <w:sz w:val="28"/>
          <w:szCs w:val="28"/>
          <w:lang w:val="fr-FR"/>
        </w:rPr>
        <w:t>.</w:t>
      </w:r>
    </w:p>
    <w:p w14:paraId="58615A28" w14:textId="77777777" w:rsidR="00E90DD9" w:rsidRPr="00C54944" w:rsidRDefault="00E90DD9" w:rsidP="00C54944">
      <w:pPr>
        <w:spacing w:after="0" w:line="240" w:lineRule="auto"/>
        <w:rPr>
          <w:rFonts w:ascii="Times New Roman" w:eastAsia="Times New Roman" w:hAnsi="Times New Roman" w:cs="Times New Roman"/>
          <w:sz w:val="28"/>
          <w:szCs w:val="28"/>
          <w:lang w:val="fr-FR"/>
        </w:rPr>
      </w:pPr>
    </w:p>
    <w:p w14:paraId="227561B0" w14:textId="77777777" w:rsidR="00325CB6" w:rsidRPr="00C54944" w:rsidRDefault="00325CB6" w:rsidP="00C54944">
      <w:pPr>
        <w:spacing w:after="0" w:line="240" w:lineRule="auto"/>
        <w:rPr>
          <w:rFonts w:ascii="Times New Roman" w:hAnsi="Times New Roman" w:cs="Times New Roman"/>
          <w:sz w:val="28"/>
          <w:szCs w:val="28"/>
          <w:lang w:val="fr-FR"/>
        </w:rPr>
      </w:pPr>
    </w:p>
    <w:p w14:paraId="298AAF09" w14:textId="5EBF99A6" w:rsidR="00F27B44" w:rsidRPr="00C54944" w:rsidRDefault="00F27B44" w:rsidP="00C54944">
      <w:pPr>
        <w:spacing w:after="0" w:line="240" w:lineRule="auto"/>
        <w:rPr>
          <w:rFonts w:ascii="Times New Roman" w:hAnsi="Times New Roman" w:cs="Times New Roman"/>
          <w:b/>
          <w:bCs/>
          <w:sz w:val="28"/>
          <w:szCs w:val="28"/>
          <w:lang w:val="fr-FR"/>
        </w:rPr>
      </w:pPr>
      <w:r w:rsidRPr="00C54944">
        <w:rPr>
          <w:rFonts w:ascii="Times New Roman" w:hAnsi="Times New Roman" w:cs="Times New Roman"/>
          <w:b/>
          <w:bCs/>
          <w:sz w:val="28"/>
          <w:szCs w:val="28"/>
          <w:lang w:val="fr-FR"/>
        </w:rPr>
        <w:t>Le Secretariat</w:t>
      </w:r>
    </w:p>
    <w:p w14:paraId="4869A85D" w14:textId="02C3C536" w:rsidR="00F27B44" w:rsidRPr="00C54944" w:rsidRDefault="00F27B44" w:rsidP="00C54944">
      <w:pPr>
        <w:spacing w:after="0" w:line="240" w:lineRule="auto"/>
        <w:rPr>
          <w:rFonts w:ascii="Times New Roman" w:hAnsi="Times New Roman" w:cs="Times New Roman"/>
          <w:b/>
          <w:bCs/>
          <w:sz w:val="28"/>
          <w:szCs w:val="28"/>
          <w:lang w:val="fr-FR"/>
        </w:rPr>
      </w:pPr>
      <w:r w:rsidRPr="00C54944">
        <w:rPr>
          <w:rFonts w:ascii="Times New Roman" w:hAnsi="Times New Roman" w:cs="Times New Roman"/>
          <w:b/>
          <w:bCs/>
          <w:sz w:val="28"/>
          <w:szCs w:val="28"/>
          <w:lang w:val="fr-FR"/>
        </w:rPr>
        <w:t>L’Organisation Islamique pour la Sécurité Alimentaire</w:t>
      </w:r>
    </w:p>
    <w:p w14:paraId="25E5CFA8" w14:textId="148BCD4F" w:rsidR="00325CB6" w:rsidRPr="00C54944" w:rsidRDefault="00F27B44" w:rsidP="00C54944">
      <w:pPr>
        <w:spacing w:after="0" w:line="240" w:lineRule="auto"/>
        <w:rPr>
          <w:rFonts w:ascii="Times New Roman" w:hAnsi="Times New Roman" w:cs="Times New Roman"/>
          <w:b/>
          <w:bCs/>
          <w:sz w:val="28"/>
          <w:szCs w:val="28"/>
        </w:rPr>
      </w:pPr>
      <w:r w:rsidRPr="00C54944">
        <w:rPr>
          <w:rFonts w:ascii="Times New Roman" w:hAnsi="Times New Roman" w:cs="Times New Roman"/>
          <w:b/>
          <w:bCs/>
          <w:sz w:val="28"/>
          <w:szCs w:val="28"/>
        </w:rPr>
        <w:t>Nour-</w:t>
      </w:r>
      <w:proofErr w:type="spellStart"/>
      <w:r w:rsidRPr="00C54944">
        <w:rPr>
          <w:rFonts w:ascii="Times New Roman" w:hAnsi="Times New Roman" w:cs="Times New Roman"/>
          <w:b/>
          <w:bCs/>
          <w:sz w:val="28"/>
          <w:szCs w:val="28"/>
        </w:rPr>
        <w:t>Soultan</w:t>
      </w:r>
      <w:proofErr w:type="spellEnd"/>
      <w:r w:rsidRPr="00C54944">
        <w:rPr>
          <w:rFonts w:ascii="Times New Roman" w:hAnsi="Times New Roman" w:cs="Times New Roman"/>
          <w:b/>
          <w:bCs/>
          <w:sz w:val="28"/>
          <w:szCs w:val="28"/>
        </w:rPr>
        <w:t>, Kazakhstan</w:t>
      </w:r>
    </w:p>
    <w:p w14:paraId="3E85C430" w14:textId="65B27477" w:rsidR="008B735C" w:rsidRPr="00C54944" w:rsidRDefault="008B735C" w:rsidP="00C54944">
      <w:pPr>
        <w:spacing w:after="0" w:line="240" w:lineRule="auto"/>
        <w:rPr>
          <w:rFonts w:ascii="Times New Roman" w:hAnsi="Times New Roman" w:cs="Times New Roman"/>
          <w:sz w:val="28"/>
          <w:szCs w:val="28"/>
        </w:rPr>
      </w:pPr>
    </w:p>
    <w:sectPr w:rsidR="008B735C" w:rsidRPr="00C54944" w:rsidSect="00C54944">
      <w:footerReference w:type="default" r:id="rId9"/>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BBC4A" w14:textId="77777777" w:rsidR="00F8744A" w:rsidRDefault="00F8744A" w:rsidP="00325CB6">
      <w:pPr>
        <w:spacing w:after="0" w:line="240" w:lineRule="auto"/>
      </w:pPr>
      <w:r>
        <w:separator/>
      </w:r>
    </w:p>
  </w:endnote>
  <w:endnote w:type="continuationSeparator" w:id="0">
    <w:p w14:paraId="392F73E8" w14:textId="77777777" w:rsidR="00F8744A" w:rsidRDefault="00F8744A" w:rsidP="0032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7869320"/>
      <w:docPartObj>
        <w:docPartGallery w:val="Page Numbers (Bottom of Page)"/>
        <w:docPartUnique/>
      </w:docPartObj>
    </w:sdtPr>
    <w:sdtEndPr>
      <w:rPr>
        <w:noProof/>
      </w:rPr>
    </w:sdtEndPr>
    <w:sdtContent>
      <w:p w14:paraId="3EA27A4F" w14:textId="36CE3DBB" w:rsidR="00325CB6" w:rsidRDefault="00325CB6">
        <w:pPr>
          <w:pStyle w:val="ab"/>
          <w:jc w:val="center"/>
        </w:pPr>
        <w:r>
          <w:fldChar w:fldCharType="begin"/>
        </w:r>
        <w:r>
          <w:instrText xml:space="preserve"> PAGE   \* MERGEFORMAT </w:instrText>
        </w:r>
        <w:r>
          <w:fldChar w:fldCharType="separate"/>
        </w:r>
        <w:r w:rsidR="00551F18">
          <w:rPr>
            <w:noProof/>
          </w:rPr>
          <w:t>5</w:t>
        </w:r>
        <w:r>
          <w:rPr>
            <w:noProof/>
          </w:rPr>
          <w:fldChar w:fldCharType="end"/>
        </w:r>
      </w:p>
    </w:sdtContent>
  </w:sdt>
  <w:p w14:paraId="156714C1" w14:textId="77777777" w:rsidR="00325CB6" w:rsidRDefault="00325CB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D28F3" w14:textId="77777777" w:rsidR="00F8744A" w:rsidRDefault="00F8744A" w:rsidP="00325CB6">
      <w:pPr>
        <w:spacing w:after="0" w:line="240" w:lineRule="auto"/>
      </w:pPr>
      <w:r>
        <w:separator/>
      </w:r>
    </w:p>
  </w:footnote>
  <w:footnote w:type="continuationSeparator" w:id="0">
    <w:p w14:paraId="76377D4F" w14:textId="77777777" w:rsidR="00F8744A" w:rsidRDefault="00F8744A" w:rsidP="00325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9497D"/>
    <w:multiLevelType w:val="multilevel"/>
    <w:tmpl w:val="2930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9528C"/>
    <w:multiLevelType w:val="hybridMultilevel"/>
    <w:tmpl w:val="2F5E7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83D8B"/>
    <w:multiLevelType w:val="multilevel"/>
    <w:tmpl w:val="9FE4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71A65"/>
    <w:multiLevelType w:val="multilevel"/>
    <w:tmpl w:val="9EE0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D435D"/>
    <w:multiLevelType w:val="multilevel"/>
    <w:tmpl w:val="0AC44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401AAB"/>
    <w:multiLevelType w:val="hybridMultilevel"/>
    <w:tmpl w:val="5240F4DA"/>
    <w:lvl w:ilvl="0" w:tplc="577A48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466DF8"/>
    <w:multiLevelType w:val="multilevel"/>
    <w:tmpl w:val="2390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27609C"/>
    <w:multiLevelType w:val="hybridMultilevel"/>
    <w:tmpl w:val="76FA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734F8"/>
    <w:multiLevelType w:val="multilevel"/>
    <w:tmpl w:val="9346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3678E3"/>
    <w:multiLevelType w:val="multilevel"/>
    <w:tmpl w:val="F5E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6D3B84"/>
    <w:multiLevelType w:val="hybridMultilevel"/>
    <w:tmpl w:val="ED4C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1C267B"/>
    <w:multiLevelType w:val="hybridMultilevel"/>
    <w:tmpl w:val="88D6E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5F3E76"/>
    <w:multiLevelType w:val="multilevel"/>
    <w:tmpl w:val="F95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F66C54"/>
    <w:multiLevelType w:val="hybridMultilevel"/>
    <w:tmpl w:val="4894A6E6"/>
    <w:lvl w:ilvl="0" w:tplc="51B4EC96">
      <w:start w:val="1"/>
      <w:numFmt w:val="decimal"/>
      <w:lvlText w:val="(%1)"/>
      <w:lvlJc w:val="left"/>
      <w:pPr>
        <w:ind w:left="720" w:hanging="360"/>
      </w:pPr>
      <w:rPr>
        <w:rFonts w:hint="default"/>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230F91"/>
    <w:multiLevelType w:val="hybridMultilevel"/>
    <w:tmpl w:val="98568AE2"/>
    <w:lvl w:ilvl="0" w:tplc="D4B47CFE">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E1222C"/>
    <w:multiLevelType w:val="multilevel"/>
    <w:tmpl w:val="500C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01978"/>
    <w:multiLevelType w:val="multilevel"/>
    <w:tmpl w:val="6AE07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CB1B85"/>
    <w:multiLevelType w:val="hybridMultilevel"/>
    <w:tmpl w:val="E06C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81E8D"/>
    <w:multiLevelType w:val="multilevel"/>
    <w:tmpl w:val="6FAA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F32718"/>
    <w:multiLevelType w:val="hybridMultilevel"/>
    <w:tmpl w:val="10CA6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5D589E"/>
    <w:multiLevelType w:val="hybridMultilevel"/>
    <w:tmpl w:val="E19A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394384"/>
    <w:multiLevelType w:val="hybridMultilevel"/>
    <w:tmpl w:val="2344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D577B"/>
    <w:multiLevelType w:val="hybridMultilevel"/>
    <w:tmpl w:val="98349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34932"/>
    <w:multiLevelType w:val="multilevel"/>
    <w:tmpl w:val="ADC4A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C4601F"/>
    <w:multiLevelType w:val="multilevel"/>
    <w:tmpl w:val="942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0"/>
  </w:num>
  <w:num w:numId="3">
    <w:abstractNumId w:val="21"/>
  </w:num>
  <w:num w:numId="4">
    <w:abstractNumId w:val="14"/>
  </w:num>
  <w:num w:numId="5">
    <w:abstractNumId w:val="13"/>
  </w:num>
  <w:num w:numId="6">
    <w:abstractNumId w:val="5"/>
  </w:num>
  <w:num w:numId="7">
    <w:abstractNumId w:val="2"/>
  </w:num>
  <w:num w:numId="8">
    <w:abstractNumId w:val="4"/>
  </w:num>
  <w:num w:numId="9">
    <w:abstractNumId w:val="3"/>
  </w:num>
  <w:num w:numId="10">
    <w:abstractNumId w:val="9"/>
  </w:num>
  <w:num w:numId="11">
    <w:abstractNumId w:val="16"/>
  </w:num>
  <w:num w:numId="12">
    <w:abstractNumId w:val="15"/>
  </w:num>
  <w:num w:numId="13">
    <w:abstractNumId w:val="0"/>
  </w:num>
  <w:num w:numId="14">
    <w:abstractNumId w:val="23"/>
  </w:num>
  <w:num w:numId="15">
    <w:abstractNumId w:val="12"/>
  </w:num>
  <w:num w:numId="16">
    <w:abstractNumId w:val="10"/>
  </w:num>
  <w:num w:numId="17">
    <w:abstractNumId w:val="1"/>
  </w:num>
  <w:num w:numId="18">
    <w:abstractNumId w:val="22"/>
  </w:num>
  <w:num w:numId="19">
    <w:abstractNumId w:val="8"/>
  </w:num>
  <w:num w:numId="20">
    <w:abstractNumId w:val="6"/>
  </w:num>
  <w:num w:numId="21">
    <w:abstractNumId w:val="18"/>
  </w:num>
  <w:num w:numId="22">
    <w:abstractNumId w:val="17"/>
  </w:num>
  <w:num w:numId="23">
    <w:abstractNumId w:val="7"/>
  </w:num>
  <w:num w:numId="24">
    <w:abstractNumId w:val="1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NTEyNjawBDLNTZR0lIJTi4sz8/NACoxqAVoaWoksAAAA"/>
  </w:docVars>
  <w:rsids>
    <w:rsidRoot w:val="00911BAD"/>
    <w:rsid w:val="000011C7"/>
    <w:rsid w:val="0003025A"/>
    <w:rsid w:val="000302EF"/>
    <w:rsid w:val="0004504A"/>
    <w:rsid w:val="000B3D6B"/>
    <w:rsid w:val="000E081B"/>
    <w:rsid w:val="000E28C5"/>
    <w:rsid w:val="000F09E6"/>
    <w:rsid w:val="00121BE9"/>
    <w:rsid w:val="00143DA1"/>
    <w:rsid w:val="00150F0B"/>
    <w:rsid w:val="00153FB4"/>
    <w:rsid w:val="00165A95"/>
    <w:rsid w:val="001819E7"/>
    <w:rsid w:val="001944AC"/>
    <w:rsid w:val="001A4130"/>
    <w:rsid w:val="00201AF4"/>
    <w:rsid w:val="00237121"/>
    <w:rsid w:val="00251721"/>
    <w:rsid w:val="00285641"/>
    <w:rsid w:val="00285A9B"/>
    <w:rsid w:val="002A76E0"/>
    <w:rsid w:val="002D1BE2"/>
    <w:rsid w:val="002D3C77"/>
    <w:rsid w:val="002D6AF4"/>
    <w:rsid w:val="002F072C"/>
    <w:rsid w:val="002F1C1C"/>
    <w:rsid w:val="002F304E"/>
    <w:rsid w:val="00300077"/>
    <w:rsid w:val="00305821"/>
    <w:rsid w:val="00325CB6"/>
    <w:rsid w:val="003401F7"/>
    <w:rsid w:val="0034059C"/>
    <w:rsid w:val="003420AA"/>
    <w:rsid w:val="0034243F"/>
    <w:rsid w:val="00343D65"/>
    <w:rsid w:val="00365B69"/>
    <w:rsid w:val="00365CB4"/>
    <w:rsid w:val="00377066"/>
    <w:rsid w:val="003A4FFF"/>
    <w:rsid w:val="003E4947"/>
    <w:rsid w:val="003F34DE"/>
    <w:rsid w:val="0041549A"/>
    <w:rsid w:val="004159D2"/>
    <w:rsid w:val="00422A5C"/>
    <w:rsid w:val="00431932"/>
    <w:rsid w:val="004832F3"/>
    <w:rsid w:val="00491198"/>
    <w:rsid w:val="004977E9"/>
    <w:rsid w:val="004B415A"/>
    <w:rsid w:val="00504C59"/>
    <w:rsid w:val="00514394"/>
    <w:rsid w:val="0052059C"/>
    <w:rsid w:val="00527FAC"/>
    <w:rsid w:val="00551F18"/>
    <w:rsid w:val="00554078"/>
    <w:rsid w:val="005607E1"/>
    <w:rsid w:val="005618EA"/>
    <w:rsid w:val="00573F4A"/>
    <w:rsid w:val="0058513E"/>
    <w:rsid w:val="00592625"/>
    <w:rsid w:val="005B4E05"/>
    <w:rsid w:val="005C266E"/>
    <w:rsid w:val="00620E7B"/>
    <w:rsid w:val="00621450"/>
    <w:rsid w:val="0064572E"/>
    <w:rsid w:val="00664421"/>
    <w:rsid w:val="00676515"/>
    <w:rsid w:val="006A23C5"/>
    <w:rsid w:val="006A61D7"/>
    <w:rsid w:val="006B78DC"/>
    <w:rsid w:val="006F1F81"/>
    <w:rsid w:val="006F43DB"/>
    <w:rsid w:val="0070519A"/>
    <w:rsid w:val="00705C96"/>
    <w:rsid w:val="00716075"/>
    <w:rsid w:val="0072099D"/>
    <w:rsid w:val="00722444"/>
    <w:rsid w:val="007463EC"/>
    <w:rsid w:val="00777F0F"/>
    <w:rsid w:val="007914B7"/>
    <w:rsid w:val="00791DF8"/>
    <w:rsid w:val="0079332F"/>
    <w:rsid w:val="00793773"/>
    <w:rsid w:val="007A0F59"/>
    <w:rsid w:val="007C55FA"/>
    <w:rsid w:val="007C66A1"/>
    <w:rsid w:val="007F19CC"/>
    <w:rsid w:val="00803EFA"/>
    <w:rsid w:val="008405E8"/>
    <w:rsid w:val="008608B0"/>
    <w:rsid w:val="00867126"/>
    <w:rsid w:val="008967D9"/>
    <w:rsid w:val="008B735C"/>
    <w:rsid w:val="008E371E"/>
    <w:rsid w:val="008F2DEC"/>
    <w:rsid w:val="00911BAD"/>
    <w:rsid w:val="00942D26"/>
    <w:rsid w:val="00962BD5"/>
    <w:rsid w:val="009827DF"/>
    <w:rsid w:val="009A552F"/>
    <w:rsid w:val="009C2210"/>
    <w:rsid w:val="009C384A"/>
    <w:rsid w:val="009E09D1"/>
    <w:rsid w:val="009E72E6"/>
    <w:rsid w:val="009F3384"/>
    <w:rsid w:val="00A35C81"/>
    <w:rsid w:val="00A401B1"/>
    <w:rsid w:val="00AB2D8E"/>
    <w:rsid w:val="00AE530F"/>
    <w:rsid w:val="00B0426F"/>
    <w:rsid w:val="00B3081C"/>
    <w:rsid w:val="00B34806"/>
    <w:rsid w:val="00B35B31"/>
    <w:rsid w:val="00B90DD1"/>
    <w:rsid w:val="00B93683"/>
    <w:rsid w:val="00B97F3A"/>
    <w:rsid w:val="00BB117A"/>
    <w:rsid w:val="00BF171C"/>
    <w:rsid w:val="00BF7EA1"/>
    <w:rsid w:val="00C00525"/>
    <w:rsid w:val="00C0310A"/>
    <w:rsid w:val="00C13A6D"/>
    <w:rsid w:val="00C364E5"/>
    <w:rsid w:val="00C50392"/>
    <w:rsid w:val="00C54944"/>
    <w:rsid w:val="00C57670"/>
    <w:rsid w:val="00C76280"/>
    <w:rsid w:val="00C969AC"/>
    <w:rsid w:val="00CB68C1"/>
    <w:rsid w:val="00CF7121"/>
    <w:rsid w:val="00D00295"/>
    <w:rsid w:val="00D0626F"/>
    <w:rsid w:val="00D26580"/>
    <w:rsid w:val="00D42672"/>
    <w:rsid w:val="00D8195E"/>
    <w:rsid w:val="00DB2227"/>
    <w:rsid w:val="00DE59E6"/>
    <w:rsid w:val="00E17D7F"/>
    <w:rsid w:val="00E23C4F"/>
    <w:rsid w:val="00E852B2"/>
    <w:rsid w:val="00E90DD9"/>
    <w:rsid w:val="00EA082F"/>
    <w:rsid w:val="00EB15C3"/>
    <w:rsid w:val="00EC589A"/>
    <w:rsid w:val="00EF47D6"/>
    <w:rsid w:val="00EF60D0"/>
    <w:rsid w:val="00F01481"/>
    <w:rsid w:val="00F07126"/>
    <w:rsid w:val="00F25939"/>
    <w:rsid w:val="00F25D34"/>
    <w:rsid w:val="00F27B44"/>
    <w:rsid w:val="00F36F02"/>
    <w:rsid w:val="00F476E8"/>
    <w:rsid w:val="00F54137"/>
    <w:rsid w:val="00F64D8F"/>
    <w:rsid w:val="00F6635D"/>
    <w:rsid w:val="00F820AD"/>
    <w:rsid w:val="00F8744A"/>
    <w:rsid w:val="00FA0A11"/>
    <w:rsid w:val="00FA135B"/>
    <w:rsid w:val="00FA4848"/>
    <w:rsid w:val="00FB6BB8"/>
    <w:rsid w:val="00FC7764"/>
    <w:rsid w:val="00FF7E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28F29"/>
  <w15:chartTrackingRefBased/>
  <w15:docId w15:val="{40E3B67A-CF10-48F0-9201-6F5AC066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C66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B41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2D1B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1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1BE2"/>
    <w:rPr>
      <w:rFonts w:ascii="Times New Roman" w:eastAsia="Times New Roman" w:hAnsi="Times New Roman" w:cs="Times New Roman"/>
      <w:b/>
      <w:bCs/>
      <w:sz w:val="27"/>
      <w:szCs w:val="27"/>
    </w:rPr>
  </w:style>
  <w:style w:type="character" w:styleId="a4">
    <w:name w:val="Hyperlink"/>
    <w:basedOn w:val="a0"/>
    <w:uiPriority w:val="99"/>
    <w:semiHidden/>
    <w:unhideWhenUsed/>
    <w:rsid w:val="002D1BE2"/>
    <w:rPr>
      <w:color w:val="0000FF"/>
      <w:u w:val="single"/>
    </w:rPr>
  </w:style>
  <w:style w:type="character" w:customStyle="1" w:styleId="10">
    <w:name w:val="Заголовок 1 Знак"/>
    <w:basedOn w:val="a0"/>
    <w:link w:val="1"/>
    <w:uiPriority w:val="9"/>
    <w:rsid w:val="007C66A1"/>
    <w:rPr>
      <w:rFonts w:asciiTheme="majorHAnsi" w:eastAsiaTheme="majorEastAsia" w:hAnsiTheme="majorHAnsi" w:cstheme="majorBidi"/>
      <w:color w:val="2F5496" w:themeColor="accent1" w:themeShade="BF"/>
      <w:sz w:val="32"/>
      <w:szCs w:val="32"/>
    </w:rPr>
  </w:style>
  <w:style w:type="character" w:customStyle="1" w:styleId="ezstring-field">
    <w:name w:val="ezstring-field"/>
    <w:basedOn w:val="a0"/>
    <w:rsid w:val="007C66A1"/>
  </w:style>
  <w:style w:type="paragraph" w:customStyle="1" w:styleId="article-headersub-title">
    <w:name w:val="article-header__sub-title"/>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ro">
    <w:name w:val="intro"/>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C66A1"/>
    <w:rPr>
      <w:i/>
      <w:iCs/>
    </w:rPr>
  </w:style>
  <w:style w:type="paragraph" w:styleId="a6">
    <w:name w:val="List Paragraph"/>
    <w:basedOn w:val="a"/>
    <w:uiPriority w:val="34"/>
    <w:qFormat/>
    <w:rsid w:val="003E4947"/>
    <w:pPr>
      <w:ind w:left="720"/>
      <w:contextualSpacing/>
    </w:pPr>
  </w:style>
  <w:style w:type="paragraph" w:styleId="a7">
    <w:name w:val="Balloon Text"/>
    <w:basedOn w:val="a"/>
    <w:link w:val="a8"/>
    <w:uiPriority w:val="99"/>
    <w:semiHidden/>
    <w:unhideWhenUsed/>
    <w:rsid w:val="000011C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011C7"/>
    <w:rPr>
      <w:rFonts w:ascii="Segoe UI" w:hAnsi="Segoe UI" w:cs="Segoe UI"/>
      <w:sz w:val="18"/>
      <w:szCs w:val="18"/>
    </w:rPr>
  </w:style>
  <w:style w:type="paragraph" w:styleId="a9">
    <w:name w:val="header"/>
    <w:basedOn w:val="a"/>
    <w:link w:val="aa"/>
    <w:uiPriority w:val="99"/>
    <w:unhideWhenUsed/>
    <w:rsid w:val="00325CB6"/>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325CB6"/>
  </w:style>
  <w:style w:type="paragraph" w:styleId="ab">
    <w:name w:val="footer"/>
    <w:basedOn w:val="a"/>
    <w:link w:val="ac"/>
    <w:uiPriority w:val="99"/>
    <w:unhideWhenUsed/>
    <w:rsid w:val="00325CB6"/>
    <w:pPr>
      <w:tabs>
        <w:tab w:val="center" w:pos="4680"/>
        <w:tab w:val="right" w:pos="9360"/>
      </w:tabs>
      <w:spacing w:after="0" w:line="240" w:lineRule="auto"/>
    </w:pPr>
  </w:style>
  <w:style w:type="character" w:customStyle="1" w:styleId="ac">
    <w:name w:val="Нижний колонтитул Знак"/>
    <w:basedOn w:val="a0"/>
    <w:link w:val="ab"/>
    <w:uiPriority w:val="99"/>
    <w:rsid w:val="00325CB6"/>
  </w:style>
  <w:style w:type="character" w:customStyle="1" w:styleId="20">
    <w:name w:val="Заголовок 2 Знак"/>
    <w:basedOn w:val="a0"/>
    <w:link w:val="2"/>
    <w:uiPriority w:val="9"/>
    <w:rsid w:val="004B415A"/>
    <w:rPr>
      <w:rFonts w:asciiTheme="majorHAnsi" w:eastAsiaTheme="majorEastAsia" w:hAnsiTheme="majorHAnsi" w:cstheme="majorBidi"/>
      <w:color w:val="2F5496" w:themeColor="accent1" w:themeShade="BF"/>
      <w:sz w:val="26"/>
      <w:szCs w:val="26"/>
    </w:rPr>
  </w:style>
  <w:style w:type="paragraph" w:styleId="ad">
    <w:name w:val="endnote text"/>
    <w:basedOn w:val="a"/>
    <w:link w:val="ae"/>
    <w:uiPriority w:val="99"/>
    <w:semiHidden/>
    <w:unhideWhenUsed/>
    <w:rsid w:val="004B415A"/>
    <w:pPr>
      <w:spacing w:after="0" w:line="240" w:lineRule="auto"/>
    </w:pPr>
    <w:rPr>
      <w:sz w:val="20"/>
      <w:szCs w:val="20"/>
    </w:rPr>
  </w:style>
  <w:style w:type="character" w:customStyle="1" w:styleId="ae">
    <w:name w:val="Текст концевой сноски Знак"/>
    <w:basedOn w:val="a0"/>
    <w:link w:val="ad"/>
    <w:uiPriority w:val="99"/>
    <w:semiHidden/>
    <w:rsid w:val="004B415A"/>
    <w:rPr>
      <w:sz w:val="20"/>
      <w:szCs w:val="20"/>
    </w:rPr>
  </w:style>
  <w:style w:type="character" w:styleId="af">
    <w:name w:val="endnote reference"/>
    <w:basedOn w:val="a0"/>
    <w:uiPriority w:val="99"/>
    <w:semiHidden/>
    <w:unhideWhenUsed/>
    <w:rsid w:val="004B415A"/>
    <w:rPr>
      <w:vertAlign w:val="superscript"/>
    </w:rPr>
  </w:style>
  <w:style w:type="paragraph" w:styleId="af0">
    <w:name w:val="No Spacing"/>
    <w:uiPriority w:val="1"/>
    <w:qFormat/>
    <w:rsid w:val="00A35C81"/>
    <w:pPr>
      <w:spacing w:after="0" w:line="240" w:lineRule="auto"/>
    </w:pPr>
  </w:style>
  <w:style w:type="character" w:styleId="af1">
    <w:name w:val="FollowedHyperlink"/>
    <w:basedOn w:val="a0"/>
    <w:uiPriority w:val="99"/>
    <w:semiHidden/>
    <w:unhideWhenUsed/>
    <w:rsid w:val="00491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17033">
      <w:bodyDiv w:val="1"/>
      <w:marLeft w:val="0"/>
      <w:marRight w:val="0"/>
      <w:marTop w:val="0"/>
      <w:marBottom w:val="0"/>
      <w:divBdr>
        <w:top w:val="none" w:sz="0" w:space="0" w:color="auto"/>
        <w:left w:val="none" w:sz="0" w:space="0" w:color="auto"/>
        <w:bottom w:val="none" w:sz="0" w:space="0" w:color="auto"/>
        <w:right w:val="none" w:sz="0" w:space="0" w:color="auto"/>
      </w:divBdr>
      <w:divsChild>
        <w:div w:id="1394742657">
          <w:marLeft w:val="0"/>
          <w:marRight w:val="0"/>
          <w:marTop w:val="0"/>
          <w:marBottom w:val="0"/>
          <w:divBdr>
            <w:top w:val="none" w:sz="0" w:space="0" w:color="auto"/>
            <w:left w:val="none" w:sz="0" w:space="0" w:color="auto"/>
            <w:bottom w:val="none" w:sz="0" w:space="0" w:color="auto"/>
            <w:right w:val="none" w:sz="0" w:space="0" w:color="auto"/>
          </w:divBdr>
          <w:divsChild>
            <w:div w:id="960187423">
              <w:marLeft w:val="0"/>
              <w:marRight w:val="0"/>
              <w:marTop w:val="0"/>
              <w:marBottom w:val="0"/>
              <w:divBdr>
                <w:top w:val="none" w:sz="0" w:space="0" w:color="auto"/>
                <w:left w:val="none" w:sz="0" w:space="0" w:color="auto"/>
                <w:bottom w:val="none" w:sz="0" w:space="0" w:color="auto"/>
                <w:right w:val="none" w:sz="0" w:space="0" w:color="auto"/>
              </w:divBdr>
              <w:divsChild>
                <w:div w:id="97262035">
                  <w:marLeft w:val="0"/>
                  <w:marRight w:val="0"/>
                  <w:marTop w:val="0"/>
                  <w:marBottom w:val="0"/>
                  <w:divBdr>
                    <w:top w:val="none" w:sz="0" w:space="0" w:color="auto"/>
                    <w:left w:val="none" w:sz="0" w:space="0" w:color="auto"/>
                    <w:bottom w:val="none" w:sz="0" w:space="0" w:color="auto"/>
                    <w:right w:val="none" w:sz="0" w:space="0" w:color="auto"/>
                  </w:divBdr>
                  <w:divsChild>
                    <w:div w:id="5100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80091">
      <w:bodyDiv w:val="1"/>
      <w:marLeft w:val="0"/>
      <w:marRight w:val="0"/>
      <w:marTop w:val="0"/>
      <w:marBottom w:val="0"/>
      <w:divBdr>
        <w:top w:val="none" w:sz="0" w:space="0" w:color="auto"/>
        <w:left w:val="none" w:sz="0" w:space="0" w:color="auto"/>
        <w:bottom w:val="none" w:sz="0" w:space="0" w:color="auto"/>
        <w:right w:val="none" w:sz="0" w:space="0" w:color="auto"/>
      </w:divBdr>
      <w:divsChild>
        <w:div w:id="859784030">
          <w:marLeft w:val="0"/>
          <w:marRight w:val="0"/>
          <w:marTop w:val="0"/>
          <w:marBottom w:val="0"/>
          <w:divBdr>
            <w:top w:val="none" w:sz="0" w:space="0" w:color="auto"/>
            <w:left w:val="none" w:sz="0" w:space="0" w:color="auto"/>
            <w:bottom w:val="none" w:sz="0" w:space="0" w:color="auto"/>
            <w:right w:val="none" w:sz="0" w:space="0" w:color="auto"/>
          </w:divBdr>
          <w:divsChild>
            <w:div w:id="948001242">
              <w:marLeft w:val="0"/>
              <w:marRight w:val="0"/>
              <w:marTop w:val="0"/>
              <w:marBottom w:val="0"/>
              <w:divBdr>
                <w:top w:val="none" w:sz="0" w:space="0" w:color="auto"/>
                <w:left w:val="none" w:sz="0" w:space="0" w:color="auto"/>
                <w:bottom w:val="none" w:sz="0" w:space="0" w:color="auto"/>
                <w:right w:val="none" w:sz="0" w:space="0" w:color="auto"/>
              </w:divBdr>
              <w:divsChild>
                <w:div w:id="193810209">
                  <w:marLeft w:val="0"/>
                  <w:marRight w:val="0"/>
                  <w:marTop w:val="0"/>
                  <w:marBottom w:val="0"/>
                  <w:divBdr>
                    <w:top w:val="none" w:sz="0" w:space="0" w:color="auto"/>
                    <w:left w:val="none" w:sz="0" w:space="0" w:color="auto"/>
                    <w:bottom w:val="none" w:sz="0" w:space="0" w:color="auto"/>
                    <w:right w:val="none" w:sz="0" w:space="0" w:color="auto"/>
                  </w:divBdr>
                  <w:divsChild>
                    <w:div w:id="149247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47389">
      <w:bodyDiv w:val="1"/>
      <w:marLeft w:val="0"/>
      <w:marRight w:val="0"/>
      <w:marTop w:val="0"/>
      <w:marBottom w:val="0"/>
      <w:divBdr>
        <w:top w:val="none" w:sz="0" w:space="0" w:color="auto"/>
        <w:left w:val="none" w:sz="0" w:space="0" w:color="auto"/>
        <w:bottom w:val="none" w:sz="0" w:space="0" w:color="auto"/>
        <w:right w:val="none" w:sz="0" w:space="0" w:color="auto"/>
      </w:divBdr>
      <w:divsChild>
        <w:div w:id="489952091">
          <w:marLeft w:val="0"/>
          <w:marRight w:val="0"/>
          <w:marTop w:val="0"/>
          <w:marBottom w:val="0"/>
          <w:divBdr>
            <w:top w:val="none" w:sz="0" w:space="0" w:color="auto"/>
            <w:left w:val="none" w:sz="0" w:space="0" w:color="auto"/>
            <w:bottom w:val="none" w:sz="0" w:space="0" w:color="auto"/>
            <w:right w:val="none" w:sz="0" w:space="0" w:color="auto"/>
          </w:divBdr>
          <w:divsChild>
            <w:div w:id="243105655">
              <w:marLeft w:val="0"/>
              <w:marRight w:val="0"/>
              <w:marTop w:val="0"/>
              <w:marBottom w:val="0"/>
              <w:divBdr>
                <w:top w:val="none" w:sz="0" w:space="0" w:color="auto"/>
                <w:left w:val="none" w:sz="0" w:space="0" w:color="auto"/>
                <w:bottom w:val="none" w:sz="0" w:space="0" w:color="auto"/>
                <w:right w:val="none" w:sz="0" w:space="0" w:color="auto"/>
              </w:divBdr>
              <w:divsChild>
                <w:div w:id="10566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554479">
      <w:bodyDiv w:val="1"/>
      <w:marLeft w:val="0"/>
      <w:marRight w:val="0"/>
      <w:marTop w:val="0"/>
      <w:marBottom w:val="0"/>
      <w:divBdr>
        <w:top w:val="none" w:sz="0" w:space="0" w:color="auto"/>
        <w:left w:val="none" w:sz="0" w:space="0" w:color="auto"/>
        <w:bottom w:val="none" w:sz="0" w:space="0" w:color="auto"/>
        <w:right w:val="none" w:sz="0" w:space="0" w:color="auto"/>
      </w:divBdr>
      <w:divsChild>
        <w:div w:id="1922064476">
          <w:marLeft w:val="0"/>
          <w:marRight w:val="0"/>
          <w:marTop w:val="0"/>
          <w:marBottom w:val="0"/>
          <w:divBdr>
            <w:top w:val="none" w:sz="0" w:space="0" w:color="auto"/>
            <w:left w:val="none" w:sz="0" w:space="0" w:color="auto"/>
            <w:bottom w:val="none" w:sz="0" w:space="0" w:color="auto"/>
            <w:right w:val="none" w:sz="0" w:space="0" w:color="auto"/>
          </w:divBdr>
          <w:divsChild>
            <w:div w:id="1171868617">
              <w:marLeft w:val="0"/>
              <w:marRight w:val="0"/>
              <w:marTop w:val="0"/>
              <w:marBottom w:val="0"/>
              <w:divBdr>
                <w:top w:val="none" w:sz="0" w:space="0" w:color="auto"/>
                <w:left w:val="none" w:sz="0" w:space="0" w:color="auto"/>
                <w:bottom w:val="none" w:sz="0" w:space="0" w:color="auto"/>
                <w:right w:val="none" w:sz="0" w:space="0" w:color="auto"/>
              </w:divBdr>
              <w:divsChild>
                <w:div w:id="1292588595">
                  <w:marLeft w:val="0"/>
                  <w:marRight w:val="0"/>
                  <w:marTop w:val="0"/>
                  <w:marBottom w:val="0"/>
                  <w:divBdr>
                    <w:top w:val="none" w:sz="0" w:space="0" w:color="auto"/>
                    <w:left w:val="none" w:sz="0" w:space="0" w:color="auto"/>
                    <w:bottom w:val="none" w:sz="0" w:space="0" w:color="auto"/>
                    <w:right w:val="none" w:sz="0" w:space="0" w:color="auto"/>
                  </w:divBdr>
                  <w:divsChild>
                    <w:div w:id="1699743416">
                      <w:marLeft w:val="0"/>
                      <w:marRight w:val="0"/>
                      <w:marTop w:val="0"/>
                      <w:marBottom w:val="0"/>
                      <w:divBdr>
                        <w:top w:val="none" w:sz="0" w:space="0" w:color="auto"/>
                        <w:left w:val="none" w:sz="0" w:space="0" w:color="auto"/>
                        <w:bottom w:val="none" w:sz="0" w:space="0" w:color="auto"/>
                        <w:right w:val="none" w:sz="0" w:space="0" w:color="auto"/>
                      </w:divBdr>
                    </w:div>
                  </w:divsChild>
                </w:div>
                <w:div w:id="444271031">
                  <w:marLeft w:val="0"/>
                  <w:marRight w:val="0"/>
                  <w:marTop w:val="0"/>
                  <w:marBottom w:val="0"/>
                  <w:divBdr>
                    <w:top w:val="none" w:sz="0" w:space="0" w:color="auto"/>
                    <w:left w:val="none" w:sz="0" w:space="0" w:color="auto"/>
                    <w:bottom w:val="none" w:sz="0" w:space="0" w:color="auto"/>
                    <w:right w:val="none" w:sz="0" w:space="0" w:color="auto"/>
                  </w:divBdr>
                  <w:divsChild>
                    <w:div w:id="199768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9520">
          <w:marLeft w:val="0"/>
          <w:marRight w:val="0"/>
          <w:marTop w:val="0"/>
          <w:marBottom w:val="0"/>
          <w:divBdr>
            <w:top w:val="none" w:sz="0" w:space="0" w:color="auto"/>
            <w:left w:val="none" w:sz="0" w:space="0" w:color="auto"/>
            <w:bottom w:val="none" w:sz="0" w:space="0" w:color="auto"/>
            <w:right w:val="none" w:sz="0" w:space="0" w:color="auto"/>
          </w:divBdr>
          <w:divsChild>
            <w:div w:id="1967806987">
              <w:marLeft w:val="0"/>
              <w:marRight w:val="0"/>
              <w:marTop w:val="0"/>
              <w:marBottom w:val="0"/>
              <w:divBdr>
                <w:top w:val="none" w:sz="0" w:space="0" w:color="auto"/>
                <w:left w:val="none" w:sz="0" w:space="0" w:color="auto"/>
                <w:bottom w:val="none" w:sz="0" w:space="0" w:color="auto"/>
                <w:right w:val="none" w:sz="0" w:space="0" w:color="auto"/>
              </w:divBdr>
              <w:divsChild>
                <w:div w:id="1101686657">
                  <w:marLeft w:val="0"/>
                  <w:marRight w:val="0"/>
                  <w:marTop w:val="0"/>
                  <w:marBottom w:val="0"/>
                  <w:divBdr>
                    <w:top w:val="none" w:sz="0" w:space="0" w:color="auto"/>
                    <w:left w:val="none" w:sz="0" w:space="0" w:color="auto"/>
                    <w:bottom w:val="none" w:sz="0" w:space="0" w:color="auto"/>
                    <w:right w:val="none" w:sz="0" w:space="0" w:color="auto"/>
                  </w:divBdr>
                </w:div>
              </w:divsChild>
            </w:div>
            <w:div w:id="1186556460">
              <w:marLeft w:val="0"/>
              <w:marRight w:val="0"/>
              <w:marTop w:val="0"/>
              <w:marBottom w:val="0"/>
              <w:divBdr>
                <w:top w:val="none" w:sz="0" w:space="0" w:color="auto"/>
                <w:left w:val="none" w:sz="0" w:space="0" w:color="auto"/>
                <w:bottom w:val="none" w:sz="0" w:space="0" w:color="auto"/>
                <w:right w:val="none" w:sz="0" w:space="0" w:color="auto"/>
              </w:divBdr>
              <w:divsChild>
                <w:div w:id="20478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877395">
      <w:bodyDiv w:val="1"/>
      <w:marLeft w:val="0"/>
      <w:marRight w:val="0"/>
      <w:marTop w:val="0"/>
      <w:marBottom w:val="0"/>
      <w:divBdr>
        <w:top w:val="none" w:sz="0" w:space="0" w:color="auto"/>
        <w:left w:val="none" w:sz="0" w:space="0" w:color="auto"/>
        <w:bottom w:val="none" w:sz="0" w:space="0" w:color="auto"/>
        <w:right w:val="none" w:sz="0" w:space="0" w:color="auto"/>
      </w:divBdr>
      <w:divsChild>
        <w:div w:id="45227184">
          <w:marLeft w:val="0"/>
          <w:marRight w:val="0"/>
          <w:marTop w:val="0"/>
          <w:marBottom w:val="0"/>
          <w:divBdr>
            <w:top w:val="none" w:sz="0" w:space="0" w:color="auto"/>
            <w:left w:val="none" w:sz="0" w:space="0" w:color="auto"/>
            <w:bottom w:val="none" w:sz="0" w:space="0" w:color="auto"/>
            <w:right w:val="none" w:sz="0" w:space="0" w:color="auto"/>
          </w:divBdr>
          <w:divsChild>
            <w:div w:id="1479417181">
              <w:marLeft w:val="0"/>
              <w:marRight w:val="0"/>
              <w:marTop w:val="0"/>
              <w:marBottom w:val="0"/>
              <w:divBdr>
                <w:top w:val="none" w:sz="0" w:space="0" w:color="auto"/>
                <w:left w:val="none" w:sz="0" w:space="0" w:color="auto"/>
                <w:bottom w:val="none" w:sz="0" w:space="0" w:color="auto"/>
                <w:right w:val="none" w:sz="0" w:space="0" w:color="auto"/>
              </w:divBdr>
              <w:divsChild>
                <w:div w:id="1894612836">
                  <w:marLeft w:val="0"/>
                  <w:marRight w:val="0"/>
                  <w:marTop w:val="0"/>
                  <w:marBottom w:val="0"/>
                  <w:divBdr>
                    <w:top w:val="none" w:sz="0" w:space="0" w:color="auto"/>
                    <w:left w:val="none" w:sz="0" w:space="0" w:color="auto"/>
                    <w:bottom w:val="none" w:sz="0" w:space="0" w:color="auto"/>
                    <w:right w:val="none" w:sz="0" w:space="0" w:color="auto"/>
                  </w:divBdr>
                  <w:divsChild>
                    <w:div w:id="3888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6665">
      <w:bodyDiv w:val="1"/>
      <w:marLeft w:val="0"/>
      <w:marRight w:val="0"/>
      <w:marTop w:val="0"/>
      <w:marBottom w:val="0"/>
      <w:divBdr>
        <w:top w:val="none" w:sz="0" w:space="0" w:color="auto"/>
        <w:left w:val="none" w:sz="0" w:space="0" w:color="auto"/>
        <w:bottom w:val="none" w:sz="0" w:space="0" w:color="auto"/>
        <w:right w:val="none" w:sz="0" w:space="0" w:color="auto"/>
      </w:divBdr>
      <w:divsChild>
        <w:div w:id="431246979">
          <w:marLeft w:val="0"/>
          <w:marRight w:val="0"/>
          <w:marTop w:val="0"/>
          <w:marBottom w:val="0"/>
          <w:divBdr>
            <w:top w:val="none" w:sz="0" w:space="0" w:color="auto"/>
            <w:left w:val="none" w:sz="0" w:space="0" w:color="auto"/>
            <w:bottom w:val="none" w:sz="0" w:space="0" w:color="auto"/>
            <w:right w:val="none" w:sz="0" w:space="0" w:color="auto"/>
          </w:divBdr>
          <w:divsChild>
            <w:div w:id="1349990188">
              <w:marLeft w:val="0"/>
              <w:marRight w:val="0"/>
              <w:marTop w:val="0"/>
              <w:marBottom w:val="0"/>
              <w:divBdr>
                <w:top w:val="none" w:sz="0" w:space="0" w:color="auto"/>
                <w:left w:val="none" w:sz="0" w:space="0" w:color="auto"/>
                <w:bottom w:val="none" w:sz="0" w:space="0" w:color="auto"/>
                <w:right w:val="none" w:sz="0" w:space="0" w:color="auto"/>
              </w:divBdr>
              <w:divsChild>
                <w:div w:id="2133353911">
                  <w:marLeft w:val="0"/>
                  <w:marRight w:val="0"/>
                  <w:marTop w:val="0"/>
                  <w:marBottom w:val="0"/>
                  <w:divBdr>
                    <w:top w:val="none" w:sz="0" w:space="0" w:color="auto"/>
                    <w:left w:val="none" w:sz="0" w:space="0" w:color="auto"/>
                    <w:bottom w:val="none" w:sz="0" w:space="0" w:color="auto"/>
                    <w:right w:val="none" w:sz="0" w:space="0" w:color="auto"/>
                  </w:divBdr>
                  <w:divsChild>
                    <w:div w:id="94400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779454">
      <w:bodyDiv w:val="1"/>
      <w:marLeft w:val="0"/>
      <w:marRight w:val="0"/>
      <w:marTop w:val="0"/>
      <w:marBottom w:val="0"/>
      <w:divBdr>
        <w:top w:val="none" w:sz="0" w:space="0" w:color="auto"/>
        <w:left w:val="none" w:sz="0" w:space="0" w:color="auto"/>
        <w:bottom w:val="none" w:sz="0" w:space="0" w:color="auto"/>
        <w:right w:val="none" w:sz="0" w:space="0" w:color="auto"/>
      </w:divBdr>
      <w:divsChild>
        <w:div w:id="668019982">
          <w:marLeft w:val="0"/>
          <w:marRight w:val="0"/>
          <w:marTop w:val="0"/>
          <w:marBottom w:val="0"/>
          <w:divBdr>
            <w:top w:val="none" w:sz="0" w:space="0" w:color="auto"/>
            <w:left w:val="none" w:sz="0" w:space="0" w:color="auto"/>
            <w:bottom w:val="none" w:sz="0" w:space="0" w:color="auto"/>
            <w:right w:val="none" w:sz="0" w:space="0" w:color="auto"/>
          </w:divBdr>
          <w:divsChild>
            <w:div w:id="1003048323">
              <w:marLeft w:val="0"/>
              <w:marRight w:val="0"/>
              <w:marTop w:val="0"/>
              <w:marBottom w:val="0"/>
              <w:divBdr>
                <w:top w:val="none" w:sz="0" w:space="0" w:color="auto"/>
                <w:left w:val="none" w:sz="0" w:space="0" w:color="auto"/>
                <w:bottom w:val="none" w:sz="0" w:space="0" w:color="auto"/>
                <w:right w:val="none" w:sz="0" w:space="0" w:color="auto"/>
              </w:divBdr>
              <w:divsChild>
                <w:div w:id="16443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804180">
      <w:bodyDiv w:val="1"/>
      <w:marLeft w:val="0"/>
      <w:marRight w:val="0"/>
      <w:marTop w:val="0"/>
      <w:marBottom w:val="0"/>
      <w:divBdr>
        <w:top w:val="none" w:sz="0" w:space="0" w:color="auto"/>
        <w:left w:val="none" w:sz="0" w:space="0" w:color="auto"/>
        <w:bottom w:val="none" w:sz="0" w:space="0" w:color="auto"/>
        <w:right w:val="none" w:sz="0" w:space="0" w:color="auto"/>
      </w:divBdr>
    </w:div>
    <w:div w:id="560561336">
      <w:bodyDiv w:val="1"/>
      <w:marLeft w:val="0"/>
      <w:marRight w:val="0"/>
      <w:marTop w:val="0"/>
      <w:marBottom w:val="0"/>
      <w:divBdr>
        <w:top w:val="none" w:sz="0" w:space="0" w:color="auto"/>
        <w:left w:val="none" w:sz="0" w:space="0" w:color="auto"/>
        <w:bottom w:val="none" w:sz="0" w:space="0" w:color="auto"/>
        <w:right w:val="none" w:sz="0" w:space="0" w:color="auto"/>
      </w:divBdr>
      <w:divsChild>
        <w:div w:id="2011328210">
          <w:marLeft w:val="0"/>
          <w:marRight w:val="0"/>
          <w:marTop w:val="0"/>
          <w:marBottom w:val="0"/>
          <w:divBdr>
            <w:top w:val="none" w:sz="0" w:space="0" w:color="auto"/>
            <w:left w:val="none" w:sz="0" w:space="0" w:color="auto"/>
            <w:bottom w:val="none" w:sz="0" w:space="0" w:color="auto"/>
            <w:right w:val="none" w:sz="0" w:space="0" w:color="auto"/>
          </w:divBdr>
          <w:divsChild>
            <w:div w:id="772940225">
              <w:marLeft w:val="0"/>
              <w:marRight w:val="0"/>
              <w:marTop w:val="0"/>
              <w:marBottom w:val="0"/>
              <w:divBdr>
                <w:top w:val="none" w:sz="0" w:space="0" w:color="auto"/>
                <w:left w:val="none" w:sz="0" w:space="0" w:color="auto"/>
                <w:bottom w:val="none" w:sz="0" w:space="0" w:color="auto"/>
                <w:right w:val="none" w:sz="0" w:space="0" w:color="auto"/>
              </w:divBdr>
              <w:divsChild>
                <w:div w:id="1315060147">
                  <w:marLeft w:val="0"/>
                  <w:marRight w:val="0"/>
                  <w:marTop w:val="0"/>
                  <w:marBottom w:val="0"/>
                  <w:divBdr>
                    <w:top w:val="none" w:sz="0" w:space="0" w:color="auto"/>
                    <w:left w:val="none" w:sz="0" w:space="0" w:color="auto"/>
                    <w:bottom w:val="none" w:sz="0" w:space="0" w:color="auto"/>
                    <w:right w:val="none" w:sz="0" w:space="0" w:color="auto"/>
                  </w:divBdr>
                  <w:divsChild>
                    <w:div w:id="6373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949179">
      <w:bodyDiv w:val="1"/>
      <w:marLeft w:val="0"/>
      <w:marRight w:val="0"/>
      <w:marTop w:val="0"/>
      <w:marBottom w:val="0"/>
      <w:divBdr>
        <w:top w:val="none" w:sz="0" w:space="0" w:color="auto"/>
        <w:left w:val="none" w:sz="0" w:space="0" w:color="auto"/>
        <w:bottom w:val="none" w:sz="0" w:space="0" w:color="auto"/>
        <w:right w:val="none" w:sz="0" w:space="0" w:color="auto"/>
      </w:divBdr>
      <w:divsChild>
        <w:div w:id="672295597">
          <w:marLeft w:val="0"/>
          <w:marRight w:val="0"/>
          <w:marTop w:val="0"/>
          <w:marBottom w:val="0"/>
          <w:divBdr>
            <w:top w:val="none" w:sz="0" w:space="0" w:color="auto"/>
            <w:left w:val="none" w:sz="0" w:space="0" w:color="auto"/>
            <w:bottom w:val="none" w:sz="0" w:space="0" w:color="auto"/>
            <w:right w:val="none" w:sz="0" w:space="0" w:color="auto"/>
          </w:divBdr>
          <w:divsChild>
            <w:div w:id="445931441">
              <w:marLeft w:val="0"/>
              <w:marRight w:val="0"/>
              <w:marTop w:val="0"/>
              <w:marBottom w:val="0"/>
              <w:divBdr>
                <w:top w:val="none" w:sz="0" w:space="0" w:color="auto"/>
                <w:left w:val="none" w:sz="0" w:space="0" w:color="auto"/>
                <w:bottom w:val="none" w:sz="0" w:space="0" w:color="auto"/>
                <w:right w:val="none" w:sz="0" w:space="0" w:color="auto"/>
              </w:divBdr>
              <w:divsChild>
                <w:div w:id="50230688">
                  <w:marLeft w:val="0"/>
                  <w:marRight w:val="0"/>
                  <w:marTop w:val="0"/>
                  <w:marBottom w:val="0"/>
                  <w:divBdr>
                    <w:top w:val="none" w:sz="0" w:space="0" w:color="auto"/>
                    <w:left w:val="none" w:sz="0" w:space="0" w:color="auto"/>
                    <w:bottom w:val="none" w:sz="0" w:space="0" w:color="auto"/>
                    <w:right w:val="none" w:sz="0" w:space="0" w:color="auto"/>
                  </w:divBdr>
                  <w:divsChild>
                    <w:div w:id="20820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260745">
      <w:bodyDiv w:val="1"/>
      <w:marLeft w:val="0"/>
      <w:marRight w:val="0"/>
      <w:marTop w:val="0"/>
      <w:marBottom w:val="0"/>
      <w:divBdr>
        <w:top w:val="none" w:sz="0" w:space="0" w:color="auto"/>
        <w:left w:val="none" w:sz="0" w:space="0" w:color="auto"/>
        <w:bottom w:val="none" w:sz="0" w:space="0" w:color="auto"/>
        <w:right w:val="none" w:sz="0" w:space="0" w:color="auto"/>
      </w:divBdr>
    </w:div>
    <w:div w:id="631594492">
      <w:bodyDiv w:val="1"/>
      <w:marLeft w:val="0"/>
      <w:marRight w:val="0"/>
      <w:marTop w:val="0"/>
      <w:marBottom w:val="0"/>
      <w:divBdr>
        <w:top w:val="none" w:sz="0" w:space="0" w:color="auto"/>
        <w:left w:val="none" w:sz="0" w:space="0" w:color="auto"/>
        <w:bottom w:val="none" w:sz="0" w:space="0" w:color="auto"/>
        <w:right w:val="none" w:sz="0" w:space="0" w:color="auto"/>
      </w:divBdr>
      <w:divsChild>
        <w:div w:id="1522822262">
          <w:marLeft w:val="0"/>
          <w:marRight w:val="0"/>
          <w:marTop w:val="0"/>
          <w:marBottom w:val="0"/>
          <w:divBdr>
            <w:top w:val="none" w:sz="0" w:space="0" w:color="auto"/>
            <w:left w:val="none" w:sz="0" w:space="0" w:color="auto"/>
            <w:bottom w:val="none" w:sz="0" w:space="0" w:color="auto"/>
            <w:right w:val="none" w:sz="0" w:space="0" w:color="auto"/>
          </w:divBdr>
          <w:divsChild>
            <w:div w:id="1829712635">
              <w:marLeft w:val="0"/>
              <w:marRight w:val="0"/>
              <w:marTop w:val="0"/>
              <w:marBottom w:val="0"/>
              <w:divBdr>
                <w:top w:val="none" w:sz="0" w:space="0" w:color="auto"/>
                <w:left w:val="none" w:sz="0" w:space="0" w:color="auto"/>
                <w:bottom w:val="none" w:sz="0" w:space="0" w:color="auto"/>
                <w:right w:val="none" w:sz="0" w:space="0" w:color="auto"/>
              </w:divBdr>
              <w:divsChild>
                <w:div w:id="1652179028">
                  <w:marLeft w:val="0"/>
                  <w:marRight w:val="0"/>
                  <w:marTop w:val="0"/>
                  <w:marBottom w:val="0"/>
                  <w:divBdr>
                    <w:top w:val="none" w:sz="0" w:space="0" w:color="auto"/>
                    <w:left w:val="none" w:sz="0" w:space="0" w:color="auto"/>
                    <w:bottom w:val="none" w:sz="0" w:space="0" w:color="auto"/>
                    <w:right w:val="none" w:sz="0" w:space="0" w:color="auto"/>
                  </w:divBdr>
                  <w:divsChild>
                    <w:div w:id="14203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498549">
      <w:bodyDiv w:val="1"/>
      <w:marLeft w:val="0"/>
      <w:marRight w:val="0"/>
      <w:marTop w:val="0"/>
      <w:marBottom w:val="0"/>
      <w:divBdr>
        <w:top w:val="none" w:sz="0" w:space="0" w:color="auto"/>
        <w:left w:val="none" w:sz="0" w:space="0" w:color="auto"/>
        <w:bottom w:val="none" w:sz="0" w:space="0" w:color="auto"/>
        <w:right w:val="none" w:sz="0" w:space="0" w:color="auto"/>
      </w:divBdr>
      <w:divsChild>
        <w:div w:id="1847816905">
          <w:marLeft w:val="0"/>
          <w:marRight w:val="0"/>
          <w:marTop w:val="0"/>
          <w:marBottom w:val="0"/>
          <w:divBdr>
            <w:top w:val="none" w:sz="0" w:space="0" w:color="auto"/>
            <w:left w:val="none" w:sz="0" w:space="0" w:color="auto"/>
            <w:bottom w:val="none" w:sz="0" w:space="0" w:color="auto"/>
            <w:right w:val="none" w:sz="0" w:space="0" w:color="auto"/>
          </w:divBdr>
          <w:divsChild>
            <w:div w:id="1580099631">
              <w:marLeft w:val="0"/>
              <w:marRight w:val="0"/>
              <w:marTop w:val="0"/>
              <w:marBottom w:val="0"/>
              <w:divBdr>
                <w:top w:val="none" w:sz="0" w:space="0" w:color="auto"/>
                <w:left w:val="none" w:sz="0" w:space="0" w:color="auto"/>
                <w:bottom w:val="none" w:sz="0" w:space="0" w:color="auto"/>
                <w:right w:val="none" w:sz="0" w:space="0" w:color="auto"/>
              </w:divBdr>
              <w:divsChild>
                <w:div w:id="185480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7278">
      <w:bodyDiv w:val="1"/>
      <w:marLeft w:val="0"/>
      <w:marRight w:val="0"/>
      <w:marTop w:val="0"/>
      <w:marBottom w:val="0"/>
      <w:divBdr>
        <w:top w:val="none" w:sz="0" w:space="0" w:color="auto"/>
        <w:left w:val="none" w:sz="0" w:space="0" w:color="auto"/>
        <w:bottom w:val="none" w:sz="0" w:space="0" w:color="auto"/>
        <w:right w:val="none" w:sz="0" w:space="0" w:color="auto"/>
      </w:divBdr>
    </w:div>
    <w:div w:id="1063718395">
      <w:bodyDiv w:val="1"/>
      <w:marLeft w:val="0"/>
      <w:marRight w:val="0"/>
      <w:marTop w:val="0"/>
      <w:marBottom w:val="0"/>
      <w:divBdr>
        <w:top w:val="none" w:sz="0" w:space="0" w:color="auto"/>
        <w:left w:val="none" w:sz="0" w:space="0" w:color="auto"/>
        <w:bottom w:val="none" w:sz="0" w:space="0" w:color="auto"/>
        <w:right w:val="none" w:sz="0" w:space="0" w:color="auto"/>
      </w:divBdr>
      <w:divsChild>
        <w:div w:id="1727142118">
          <w:marLeft w:val="0"/>
          <w:marRight w:val="0"/>
          <w:marTop w:val="0"/>
          <w:marBottom w:val="0"/>
          <w:divBdr>
            <w:top w:val="none" w:sz="0" w:space="0" w:color="auto"/>
            <w:left w:val="none" w:sz="0" w:space="0" w:color="auto"/>
            <w:bottom w:val="none" w:sz="0" w:space="0" w:color="auto"/>
            <w:right w:val="none" w:sz="0" w:space="0" w:color="auto"/>
          </w:divBdr>
          <w:divsChild>
            <w:div w:id="795487331">
              <w:marLeft w:val="0"/>
              <w:marRight w:val="0"/>
              <w:marTop w:val="0"/>
              <w:marBottom w:val="0"/>
              <w:divBdr>
                <w:top w:val="none" w:sz="0" w:space="0" w:color="auto"/>
                <w:left w:val="none" w:sz="0" w:space="0" w:color="auto"/>
                <w:bottom w:val="none" w:sz="0" w:space="0" w:color="auto"/>
                <w:right w:val="none" w:sz="0" w:space="0" w:color="auto"/>
              </w:divBdr>
              <w:divsChild>
                <w:div w:id="1643347337">
                  <w:marLeft w:val="0"/>
                  <w:marRight w:val="0"/>
                  <w:marTop w:val="0"/>
                  <w:marBottom w:val="0"/>
                  <w:divBdr>
                    <w:top w:val="none" w:sz="0" w:space="0" w:color="auto"/>
                    <w:left w:val="none" w:sz="0" w:space="0" w:color="auto"/>
                    <w:bottom w:val="none" w:sz="0" w:space="0" w:color="auto"/>
                    <w:right w:val="none" w:sz="0" w:space="0" w:color="auto"/>
                  </w:divBdr>
                  <w:divsChild>
                    <w:div w:id="99379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181528">
      <w:bodyDiv w:val="1"/>
      <w:marLeft w:val="0"/>
      <w:marRight w:val="0"/>
      <w:marTop w:val="0"/>
      <w:marBottom w:val="0"/>
      <w:divBdr>
        <w:top w:val="none" w:sz="0" w:space="0" w:color="auto"/>
        <w:left w:val="none" w:sz="0" w:space="0" w:color="auto"/>
        <w:bottom w:val="none" w:sz="0" w:space="0" w:color="auto"/>
        <w:right w:val="none" w:sz="0" w:space="0" w:color="auto"/>
      </w:divBdr>
    </w:div>
    <w:div w:id="1102333226">
      <w:bodyDiv w:val="1"/>
      <w:marLeft w:val="0"/>
      <w:marRight w:val="0"/>
      <w:marTop w:val="0"/>
      <w:marBottom w:val="0"/>
      <w:divBdr>
        <w:top w:val="none" w:sz="0" w:space="0" w:color="auto"/>
        <w:left w:val="none" w:sz="0" w:space="0" w:color="auto"/>
        <w:bottom w:val="none" w:sz="0" w:space="0" w:color="auto"/>
        <w:right w:val="none" w:sz="0" w:space="0" w:color="auto"/>
      </w:divBdr>
      <w:divsChild>
        <w:div w:id="167791800">
          <w:marLeft w:val="0"/>
          <w:marRight w:val="0"/>
          <w:marTop w:val="0"/>
          <w:marBottom w:val="0"/>
          <w:divBdr>
            <w:top w:val="none" w:sz="0" w:space="0" w:color="auto"/>
            <w:left w:val="none" w:sz="0" w:space="0" w:color="auto"/>
            <w:bottom w:val="none" w:sz="0" w:space="0" w:color="auto"/>
            <w:right w:val="none" w:sz="0" w:space="0" w:color="auto"/>
          </w:divBdr>
          <w:divsChild>
            <w:div w:id="650208223">
              <w:marLeft w:val="0"/>
              <w:marRight w:val="0"/>
              <w:marTop w:val="0"/>
              <w:marBottom w:val="0"/>
              <w:divBdr>
                <w:top w:val="none" w:sz="0" w:space="0" w:color="auto"/>
                <w:left w:val="none" w:sz="0" w:space="0" w:color="auto"/>
                <w:bottom w:val="none" w:sz="0" w:space="0" w:color="auto"/>
                <w:right w:val="none" w:sz="0" w:space="0" w:color="auto"/>
              </w:divBdr>
              <w:divsChild>
                <w:div w:id="1488206139">
                  <w:marLeft w:val="0"/>
                  <w:marRight w:val="0"/>
                  <w:marTop w:val="0"/>
                  <w:marBottom w:val="0"/>
                  <w:divBdr>
                    <w:top w:val="none" w:sz="0" w:space="0" w:color="auto"/>
                    <w:left w:val="none" w:sz="0" w:space="0" w:color="auto"/>
                    <w:bottom w:val="none" w:sz="0" w:space="0" w:color="auto"/>
                    <w:right w:val="none" w:sz="0" w:space="0" w:color="auto"/>
                  </w:divBdr>
                  <w:divsChild>
                    <w:div w:id="138459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715005">
      <w:bodyDiv w:val="1"/>
      <w:marLeft w:val="0"/>
      <w:marRight w:val="0"/>
      <w:marTop w:val="0"/>
      <w:marBottom w:val="0"/>
      <w:divBdr>
        <w:top w:val="none" w:sz="0" w:space="0" w:color="auto"/>
        <w:left w:val="none" w:sz="0" w:space="0" w:color="auto"/>
        <w:bottom w:val="none" w:sz="0" w:space="0" w:color="auto"/>
        <w:right w:val="none" w:sz="0" w:space="0" w:color="auto"/>
      </w:divBdr>
      <w:divsChild>
        <w:div w:id="1767185792">
          <w:marLeft w:val="0"/>
          <w:marRight w:val="0"/>
          <w:marTop w:val="0"/>
          <w:marBottom w:val="0"/>
          <w:divBdr>
            <w:top w:val="none" w:sz="0" w:space="0" w:color="auto"/>
            <w:left w:val="none" w:sz="0" w:space="0" w:color="auto"/>
            <w:bottom w:val="none" w:sz="0" w:space="0" w:color="auto"/>
            <w:right w:val="none" w:sz="0" w:space="0" w:color="auto"/>
          </w:divBdr>
          <w:divsChild>
            <w:div w:id="1271742354">
              <w:marLeft w:val="0"/>
              <w:marRight w:val="0"/>
              <w:marTop w:val="0"/>
              <w:marBottom w:val="0"/>
              <w:divBdr>
                <w:top w:val="none" w:sz="0" w:space="0" w:color="auto"/>
                <w:left w:val="none" w:sz="0" w:space="0" w:color="auto"/>
                <w:bottom w:val="none" w:sz="0" w:space="0" w:color="auto"/>
                <w:right w:val="none" w:sz="0" w:space="0" w:color="auto"/>
              </w:divBdr>
              <w:divsChild>
                <w:div w:id="596446664">
                  <w:marLeft w:val="0"/>
                  <w:marRight w:val="0"/>
                  <w:marTop w:val="0"/>
                  <w:marBottom w:val="0"/>
                  <w:divBdr>
                    <w:top w:val="none" w:sz="0" w:space="0" w:color="auto"/>
                    <w:left w:val="none" w:sz="0" w:space="0" w:color="auto"/>
                    <w:bottom w:val="none" w:sz="0" w:space="0" w:color="auto"/>
                    <w:right w:val="none" w:sz="0" w:space="0" w:color="auto"/>
                  </w:divBdr>
                  <w:divsChild>
                    <w:div w:id="90599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341715">
      <w:bodyDiv w:val="1"/>
      <w:marLeft w:val="0"/>
      <w:marRight w:val="0"/>
      <w:marTop w:val="0"/>
      <w:marBottom w:val="0"/>
      <w:divBdr>
        <w:top w:val="none" w:sz="0" w:space="0" w:color="auto"/>
        <w:left w:val="none" w:sz="0" w:space="0" w:color="auto"/>
        <w:bottom w:val="none" w:sz="0" w:space="0" w:color="auto"/>
        <w:right w:val="none" w:sz="0" w:space="0" w:color="auto"/>
      </w:divBdr>
    </w:div>
    <w:div w:id="1143931542">
      <w:bodyDiv w:val="1"/>
      <w:marLeft w:val="0"/>
      <w:marRight w:val="0"/>
      <w:marTop w:val="0"/>
      <w:marBottom w:val="0"/>
      <w:divBdr>
        <w:top w:val="none" w:sz="0" w:space="0" w:color="auto"/>
        <w:left w:val="none" w:sz="0" w:space="0" w:color="auto"/>
        <w:bottom w:val="none" w:sz="0" w:space="0" w:color="auto"/>
        <w:right w:val="none" w:sz="0" w:space="0" w:color="auto"/>
      </w:divBdr>
      <w:divsChild>
        <w:div w:id="789324304">
          <w:marLeft w:val="0"/>
          <w:marRight w:val="0"/>
          <w:marTop w:val="0"/>
          <w:marBottom w:val="0"/>
          <w:divBdr>
            <w:top w:val="none" w:sz="0" w:space="0" w:color="auto"/>
            <w:left w:val="none" w:sz="0" w:space="0" w:color="auto"/>
            <w:bottom w:val="none" w:sz="0" w:space="0" w:color="auto"/>
            <w:right w:val="none" w:sz="0" w:space="0" w:color="auto"/>
          </w:divBdr>
          <w:divsChild>
            <w:div w:id="1515419157">
              <w:marLeft w:val="0"/>
              <w:marRight w:val="0"/>
              <w:marTop w:val="0"/>
              <w:marBottom w:val="0"/>
              <w:divBdr>
                <w:top w:val="none" w:sz="0" w:space="0" w:color="auto"/>
                <w:left w:val="none" w:sz="0" w:space="0" w:color="auto"/>
                <w:bottom w:val="none" w:sz="0" w:space="0" w:color="auto"/>
                <w:right w:val="none" w:sz="0" w:space="0" w:color="auto"/>
              </w:divBdr>
              <w:divsChild>
                <w:div w:id="979194818">
                  <w:marLeft w:val="0"/>
                  <w:marRight w:val="0"/>
                  <w:marTop w:val="0"/>
                  <w:marBottom w:val="0"/>
                  <w:divBdr>
                    <w:top w:val="none" w:sz="0" w:space="0" w:color="auto"/>
                    <w:left w:val="none" w:sz="0" w:space="0" w:color="auto"/>
                    <w:bottom w:val="none" w:sz="0" w:space="0" w:color="auto"/>
                    <w:right w:val="none" w:sz="0" w:space="0" w:color="auto"/>
                  </w:divBdr>
                  <w:divsChild>
                    <w:div w:id="15599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807502">
      <w:bodyDiv w:val="1"/>
      <w:marLeft w:val="0"/>
      <w:marRight w:val="0"/>
      <w:marTop w:val="0"/>
      <w:marBottom w:val="0"/>
      <w:divBdr>
        <w:top w:val="none" w:sz="0" w:space="0" w:color="auto"/>
        <w:left w:val="none" w:sz="0" w:space="0" w:color="auto"/>
        <w:bottom w:val="none" w:sz="0" w:space="0" w:color="auto"/>
        <w:right w:val="none" w:sz="0" w:space="0" w:color="auto"/>
      </w:divBdr>
    </w:div>
    <w:div w:id="1189444835">
      <w:bodyDiv w:val="1"/>
      <w:marLeft w:val="0"/>
      <w:marRight w:val="0"/>
      <w:marTop w:val="0"/>
      <w:marBottom w:val="0"/>
      <w:divBdr>
        <w:top w:val="none" w:sz="0" w:space="0" w:color="auto"/>
        <w:left w:val="none" w:sz="0" w:space="0" w:color="auto"/>
        <w:bottom w:val="none" w:sz="0" w:space="0" w:color="auto"/>
        <w:right w:val="none" w:sz="0" w:space="0" w:color="auto"/>
      </w:divBdr>
      <w:divsChild>
        <w:div w:id="1796288787">
          <w:marLeft w:val="0"/>
          <w:marRight w:val="0"/>
          <w:marTop w:val="0"/>
          <w:marBottom w:val="0"/>
          <w:divBdr>
            <w:top w:val="none" w:sz="0" w:space="0" w:color="auto"/>
            <w:left w:val="none" w:sz="0" w:space="0" w:color="auto"/>
            <w:bottom w:val="none" w:sz="0" w:space="0" w:color="auto"/>
            <w:right w:val="none" w:sz="0" w:space="0" w:color="auto"/>
          </w:divBdr>
          <w:divsChild>
            <w:div w:id="912736400">
              <w:marLeft w:val="0"/>
              <w:marRight w:val="0"/>
              <w:marTop w:val="0"/>
              <w:marBottom w:val="0"/>
              <w:divBdr>
                <w:top w:val="none" w:sz="0" w:space="0" w:color="auto"/>
                <w:left w:val="none" w:sz="0" w:space="0" w:color="auto"/>
                <w:bottom w:val="none" w:sz="0" w:space="0" w:color="auto"/>
                <w:right w:val="none" w:sz="0" w:space="0" w:color="auto"/>
              </w:divBdr>
              <w:divsChild>
                <w:div w:id="522666547">
                  <w:marLeft w:val="0"/>
                  <w:marRight w:val="0"/>
                  <w:marTop w:val="0"/>
                  <w:marBottom w:val="0"/>
                  <w:divBdr>
                    <w:top w:val="none" w:sz="0" w:space="0" w:color="auto"/>
                    <w:left w:val="none" w:sz="0" w:space="0" w:color="auto"/>
                    <w:bottom w:val="none" w:sz="0" w:space="0" w:color="auto"/>
                    <w:right w:val="none" w:sz="0" w:space="0" w:color="auto"/>
                  </w:divBdr>
                  <w:divsChild>
                    <w:div w:id="190968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742649">
      <w:bodyDiv w:val="1"/>
      <w:marLeft w:val="0"/>
      <w:marRight w:val="0"/>
      <w:marTop w:val="0"/>
      <w:marBottom w:val="0"/>
      <w:divBdr>
        <w:top w:val="none" w:sz="0" w:space="0" w:color="auto"/>
        <w:left w:val="none" w:sz="0" w:space="0" w:color="auto"/>
        <w:bottom w:val="none" w:sz="0" w:space="0" w:color="auto"/>
        <w:right w:val="none" w:sz="0" w:space="0" w:color="auto"/>
      </w:divBdr>
    </w:div>
    <w:div w:id="1212572519">
      <w:bodyDiv w:val="1"/>
      <w:marLeft w:val="0"/>
      <w:marRight w:val="0"/>
      <w:marTop w:val="0"/>
      <w:marBottom w:val="0"/>
      <w:divBdr>
        <w:top w:val="none" w:sz="0" w:space="0" w:color="auto"/>
        <w:left w:val="none" w:sz="0" w:space="0" w:color="auto"/>
        <w:bottom w:val="none" w:sz="0" w:space="0" w:color="auto"/>
        <w:right w:val="none" w:sz="0" w:space="0" w:color="auto"/>
      </w:divBdr>
    </w:div>
    <w:div w:id="1342120810">
      <w:bodyDiv w:val="1"/>
      <w:marLeft w:val="0"/>
      <w:marRight w:val="0"/>
      <w:marTop w:val="0"/>
      <w:marBottom w:val="0"/>
      <w:divBdr>
        <w:top w:val="none" w:sz="0" w:space="0" w:color="auto"/>
        <w:left w:val="none" w:sz="0" w:space="0" w:color="auto"/>
        <w:bottom w:val="none" w:sz="0" w:space="0" w:color="auto"/>
        <w:right w:val="none" w:sz="0" w:space="0" w:color="auto"/>
      </w:divBdr>
      <w:divsChild>
        <w:div w:id="975067334">
          <w:marLeft w:val="0"/>
          <w:marRight w:val="0"/>
          <w:marTop w:val="0"/>
          <w:marBottom w:val="0"/>
          <w:divBdr>
            <w:top w:val="none" w:sz="0" w:space="0" w:color="auto"/>
            <w:left w:val="none" w:sz="0" w:space="0" w:color="auto"/>
            <w:bottom w:val="none" w:sz="0" w:space="0" w:color="auto"/>
            <w:right w:val="none" w:sz="0" w:space="0" w:color="auto"/>
          </w:divBdr>
          <w:divsChild>
            <w:div w:id="570970713">
              <w:marLeft w:val="0"/>
              <w:marRight w:val="0"/>
              <w:marTop w:val="0"/>
              <w:marBottom w:val="0"/>
              <w:divBdr>
                <w:top w:val="none" w:sz="0" w:space="0" w:color="auto"/>
                <w:left w:val="none" w:sz="0" w:space="0" w:color="auto"/>
                <w:bottom w:val="none" w:sz="0" w:space="0" w:color="auto"/>
                <w:right w:val="none" w:sz="0" w:space="0" w:color="auto"/>
              </w:divBdr>
              <w:divsChild>
                <w:div w:id="820468223">
                  <w:marLeft w:val="0"/>
                  <w:marRight w:val="0"/>
                  <w:marTop w:val="0"/>
                  <w:marBottom w:val="0"/>
                  <w:divBdr>
                    <w:top w:val="none" w:sz="0" w:space="0" w:color="auto"/>
                    <w:left w:val="none" w:sz="0" w:space="0" w:color="auto"/>
                    <w:bottom w:val="none" w:sz="0" w:space="0" w:color="auto"/>
                    <w:right w:val="none" w:sz="0" w:space="0" w:color="auto"/>
                  </w:divBdr>
                  <w:divsChild>
                    <w:div w:id="86055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960893">
      <w:bodyDiv w:val="1"/>
      <w:marLeft w:val="0"/>
      <w:marRight w:val="0"/>
      <w:marTop w:val="0"/>
      <w:marBottom w:val="0"/>
      <w:divBdr>
        <w:top w:val="none" w:sz="0" w:space="0" w:color="auto"/>
        <w:left w:val="none" w:sz="0" w:space="0" w:color="auto"/>
        <w:bottom w:val="none" w:sz="0" w:space="0" w:color="auto"/>
        <w:right w:val="none" w:sz="0" w:space="0" w:color="auto"/>
      </w:divBdr>
    </w:div>
    <w:div w:id="1467888927">
      <w:bodyDiv w:val="1"/>
      <w:marLeft w:val="0"/>
      <w:marRight w:val="0"/>
      <w:marTop w:val="0"/>
      <w:marBottom w:val="0"/>
      <w:divBdr>
        <w:top w:val="none" w:sz="0" w:space="0" w:color="auto"/>
        <w:left w:val="none" w:sz="0" w:space="0" w:color="auto"/>
        <w:bottom w:val="none" w:sz="0" w:space="0" w:color="auto"/>
        <w:right w:val="none" w:sz="0" w:space="0" w:color="auto"/>
      </w:divBdr>
      <w:divsChild>
        <w:div w:id="1063673498">
          <w:marLeft w:val="0"/>
          <w:marRight w:val="0"/>
          <w:marTop w:val="0"/>
          <w:marBottom w:val="0"/>
          <w:divBdr>
            <w:top w:val="none" w:sz="0" w:space="0" w:color="auto"/>
            <w:left w:val="none" w:sz="0" w:space="0" w:color="auto"/>
            <w:bottom w:val="none" w:sz="0" w:space="0" w:color="auto"/>
            <w:right w:val="none" w:sz="0" w:space="0" w:color="auto"/>
          </w:divBdr>
          <w:divsChild>
            <w:div w:id="624702849">
              <w:marLeft w:val="0"/>
              <w:marRight w:val="0"/>
              <w:marTop w:val="0"/>
              <w:marBottom w:val="0"/>
              <w:divBdr>
                <w:top w:val="none" w:sz="0" w:space="0" w:color="auto"/>
                <w:left w:val="none" w:sz="0" w:space="0" w:color="auto"/>
                <w:bottom w:val="none" w:sz="0" w:space="0" w:color="auto"/>
                <w:right w:val="none" w:sz="0" w:space="0" w:color="auto"/>
              </w:divBdr>
              <w:divsChild>
                <w:div w:id="2065177269">
                  <w:marLeft w:val="0"/>
                  <w:marRight w:val="0"/>
                  <w:marTop w:val="0"/>
                  <w:marBottom w:val="0"/>
                  <w:divBdr>
                    <w:top w:val="none" w:sz="0" w:space="0" w:color="auto"/>
                    <w:left w:val="none" w:sz="0" w:space="0" w:color="auto"/>
                    <w:bottom w:val="none" w:sz="0" w:space="0" w:color="auto"/>
                    <w:right w:val="none" w:sz="0" w:space="0" w:color="auto"/>
                  </w:divBdr>
                  <w:divsChild>
                    <w:div w:id="1593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85083">
      <w:bodyDiv w:val="1"/>
      <w:marLeft w:val="0"/>
      <w:marRight w:val="0"/>
      <w:marTop w:val="0"/>
      <w:marBottom w:val="0"/>
      <w:divBdr>
        <w:top w:val="none" w:sz="0" w:space="0" w:color="auto"/>
        <w:left w:val="none" w:sz="0" w:space="0" w:color="auto"/>
        <w:bottom w:val="none" w:sz="0" w:space="0" w:color="auto"/>
        <w:right w:val="none" w:sz="0" w:space="0" w:color="auto"/>
      </w:divBdr>
    </w:div>
    <w:div w:id="1635871934">
      <w:bodyDiv w:val="1"/>
      <w:marLeft w:val="0"/>
      <w:marRight w:val="0"/>
      <w:marTop w:val="0"/>
      <w:marBottom w:val="0"/>
      <w:divBdr>
        <w:top w:val="none" w:sz="0" w:space="0" w:color="auto"/>
        <w:left w:val="none" w:sz="0" w:space="0" w:color="auto"/>
        <w:bottom w:val="none" w:sz="0" w:space="0" w:color="auto"/>
        <w:right w:val="none" w:sz="0" w:space="0" w:color="auto"/>
      </w:divBdr>
      <w:divsChild>
        <w:div w:id="1677075384">
          <w:marLeft w:val="0"/>
          <w:marRight w:val="0"/>
          <w:marTop w:val="0"/>
          <w:marBottom w:val="0"/>
          <w:divBdr>
            <w:top w:val="none" w:sz="0" w:space="0" w:color="auto"/>
            <w:left w:val="none" w:sz="0" w:space="0" w:color="auto"/>
            <w:bottom w:val="none" w:sz="0" w:space="0" w:color="auto"/>
            <w:right w:val="none" w:sz="0" w:space="0" w:color="auto"/>
          </w:divBdr>
          <w:divsChild>
            <w:div w:id="1277831907">
              <w:marLeft w:val="0"/>
              <w:marRight w:val="0"/>
              <w:marTop w:val="0"/>
              <w:marBottom w:val="0"/>
              <w:divBdr>
                <w:top w:val="none" w:sz="0" w:space="0" w:color="auto"/>
                <w:left w:val="none" w:sz="0" w:space="0" w:color="auto"/>
                <w:bottom w:val="none" w:sz="0" w:space="0" w:color="auto"/>
                <w:right w:val="none" w:sz="0" w:space="0" w:color="auto"/>
              </w:divBdr>
              <w:divsChild>
                <w:div w:id="727534706">
                  <w:marLeft w:val="0"/>
                  <w:marRight w:val="0"/>
                  <w:marTop w:val="0"/>
                  <w:marBottom w:val="0"/>
                  <w:divBdr>
                    <w:top w:val="none" w:sz="0" w:space="0" w:color="auto"/>
                    <w:left w:val="none" w:sz="0" w:space="0" w:color="auto"/>
                    <w:bottom w:val="none" w:sz="0" w:space="0" w:color="auto"/>
                    <w:right w:val="none" w:sz="0" w:space="0" w:color="auto"/>
                  </w:divBdr>
                  <w:divsChild>
                    <w:div w:id="2691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536767">
      <w:bodyDiv w:val="1"/>
      <w:marLeft w:val="0"/>
      <w:marRight w:val="0"/>
      <w:marTop w:val="0"/>
      <w:marBottom w:val="0"/>
      <w:divBdr>
        <w:top w:val="none" w:sz="0" w:space="0" w:color="auto"/>
        <w:left w:val="none" w:sz="0" w:space="0" w:color="auto"/>
        <w:bottom w:val="none" w:sz="0" w:space="0" w:color="auto"/>
        <w:right w:val="none" w:sz="0" w:space="0" w:color="auto"/>
      </w:divBdr>
      <w:divsChild>
        <w:div w:id="792750080">
          <w:marLeft w:val="0"/>
          <w:marRight w:val="0"/>
          <w:marTop w:val="0"/>
          <w:marBottom w:val="0"/>
          <w:divBdr>
            <w:top w:val="none" w:sz="0" w:space="0" w:color="auto"/>
            <w:left w:val="none" w:sz="0" w:space="0" w:color="auto"/>
            <w:bottom w:val="none" w:sz="0" w:space="0" w:color="auto"/>
            <w:right w:val="none" w:sz="0" w:space="0" w:color="auto"/>
          </w:divBdr>
          <w:divsChild>
            <w:div w:id="1281182933">
              <w:marLeft w:val="0"/>
              <w:marRight w:val="0"/>
              <w:marTop w:val="0"/>
              <w:marBottom w:val="0"/>
              <w:divBdr>
                <w:top w:val="none" w:sz="0" w:space="0" w:color="auto"/>
                <w:left w:val="none" w:sz="0" w:space="0" w:color="auto"/>
                <w:bottom w:val="none" w:sz="0" w:space="0" w:color="auto"/>
                <w:right w:val="none" w:sz="0" w:space="0" w:color="auto"/>
              </w:divBdr>
              <w:divsChild>
                <w:div w:id="218515223">
                  <w:marLeft w:val="0"/>
                  <w:marRight w:val="0"/>
                  <w:marTop w:val="0"/>
                  <w:marBottom w:val="0"/>
                  <w:divBdr>
                    <w:top w:val="none" w:sz="0" w:space="0" w:color="auto"/>
                    <w:left w:val="none" w:sz="0" w:space="0" w:color="auto"/>
                    <w:bottom w:val="none" w:sz="0" w:space="0" w:color="auto"/>
                    <w:right w:val="none" w:sz="0" w:space="0" w:color="auto"/>
                  </w:divBdr>
                  <w:divsChild>
                    <w:div w:id="1095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235680">
      <w:bodyDiv w:val="1"/>
      <w:marLeft w:val="0"/>
      <w:marRight w:val="0"/>
      <w:marTop w:val="0"/>
      <w:marBottom w:val="0"/>
      <w:divBdr>
        <w:top w:val="none" w:sz="0" w:space="0" w:color="auto"/>
        <w:left w:val="none" w:sz="0" w:space="0" w:color="auto"/>
        <w:bottom w:val="none" w:sz="0" w:space="0" w:color="auto"/>
        <w:right w:val="none" w:sz="0" w:space="0" w:color="auto"/>
      </w:divBdr>
      <w:divsChild>
        <w:div w:id="2018188126">
          <w:marLeft w:val="0"/>
          <w:marRight w:val="0"/>
          <w:marTop w:val="0"/>
          <w:marBottom w:val="0"/>
          <w:divBdr>
            <w:top w:val="none" w:sz="0" w:space="0" w:color="auto"/>
            <w:left w:val="none" w:sz="0" w:space="0" w:color="auto"/>
            <w:bottom w:val="none" w:sz="0" w:space="0" w:color="auto"/>
            <w:right w:val="none" w:sz="0" w:space="0" w:color="auto"/>
          </w:divBdr>
          <w:divsChild>
            <w:div w:id="660354525">
              <w:marLeft w:val="0"/>
              <w:marRight w:val="0"/>
              <w:marTop w:val="0"/>
              <w:marBottom w:val="0"/>
              <w:divBdr>
                <w:top w:val="none" w:sz="0" w:space="0" w:color="auto"/>
                <w:left w:val="none" w:sz="0" w:space="0" w:color="auto"/>
                <w:bottom w:val="none" w:sz="0" w:space="0" w:color="auto"/>
                <w:right w:val="none" w:sz="0" w:space="0" w:color="auto"/>
              </w:divBdr>
              <w:divsChild>
                <w:div w:id="1561749375">
                  <w:marLeft w:val="0"/>
                  <w:marRight w:val="0"/>
                  <w:marTop w:val="0"/>
                  <w:marBottom w:val="0"/>
                  <w:divBdr>
                    <w:top w:val="none" w:sz="0" w:space="0" w:color="auto"/>
                    <w:left w:val="none" w:sz="0" w:space="0" w:color="auto"/>
                    <w:bottom w:val="none" w:sz="0" w:space="0" w:color="auto"/>
                    <w:right w:val="none" w:sz="0" w:space="0" w:color="auto"/>
                  </w:divBdr>
                  <w:divsChild>
                    <w:div w:id="11425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789224">
      <w:bodyDiv w:val="1"/>
      <w:marLeft w:val="0"/>
      <w:marRight w:val="0"/>
      <w:marTop w:val="0"/>
      <w:marBottom w:val="0"/>
      <w:divBdr>
        <w:top w:val="none" w:sz="0" w:space="0" w:color="auto"/>
        <w:left w:val="none" w:sz="0" w:space="0" w:color="auto"/>
        <w:bottom w:val="none" w:sz="0" w:space="0" w:color="auto"/>
        <w:right w:val="none" w:sz="0" w:space="0" w:color="auto"/>
      </w:divBdr>
    </w:div>
    <w:div w:id="1931959599">
      <w:bodyDiv w:val="1"/>
      <w:marLeft w:val="0"/>
      <w:marRight w:val="0"/>
      <w:marTop w:val="0"/>
      <w:marBottom w:val="0"/>
      <w:divBdr>
        <w:top w:val="none" w:sz="0" w:space="0" w:color="auto"/>
        <w:left w:val="none" w:sz="0" w:space="0" w:color="auto"/>
        <w:bottom w:val="none" w:sz="0" w:space="0" w:color="auto"/>
        <w:right w:val="none" w:sz="0" w:space="0" w:color="auto"/>
      </w:divBdr>
      <w:divsChild>
        <w:div w:id="1194148638">
          <w:marLeft w:val="0"/>
          <w:marRight w:val="0"/>
          <w:marTop w:val="0"/>
          <w:marBottom w:val="0"/>
          <w:divBdr>
            <w:top w:val="none" w:sz="0" w:space="0" w:color="auto"/>
            <w:left w:val="none" w:sz="0" w:space="0" w:color="auto"/>
            <w:bottom w:val="none" w:sz="0" w:space="0" w:color="auto"/>
            <w:right w:val="none" w:sz="0" w:space="0" w:color="auto"/>
          </w:divBdr>
          <w:divsChild>
            <w:div w:id="1750420587">
              <w:marLeft w:val="0"/>
              <w:marRight w:val="0"/>
              <w:marTop w:val="0"/>
              <w:marBottom w:val="0"/>
              <w:divBdr>
                <w:top w:val="none" w:sz="0" w:space="0" w:color="auto"/>
                <w:left w:val="none" w:sz="0" w:space="0" w:color="auto"/>
                <w:bottom w:val="none" w:sz="0" w:space="0" w:color="auto"/>
                <w:right w:val="none" w:sz="0" w:space="0" w:color="auto"/>
              </w:divBdr>
              <w:divsChild>
                <w:div w:id="75597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BD157-EA19-4758-9139-6B0FCFE0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3212</Words>
  <Characters>18315</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Ismail Abdelhamid</dc:creator>
  <cp:keywords/>
  <dc:description/>
  <cp:lastModifiedBy>User</cp:lastModifiedBy>
  <cp:revision>3</cp:revision>
  <cp:lastPrinted>2020-10-16T09:33:00Z</cp:lastPrinted>
  <dcterms:created xsi:type="dcterms:W3CDTF">2020-11-05T13:36:00Z</dcterms:created>
  <dcterms:modified xsi:type="dcterms:W3CDTF">2020-11-06T08:44:00Z</dcterms:modified>
</cp:coreProperties>
</file>